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44DE33">
      <w:pPr>
        <w:spacing w:before="0" w:beforeLines="0" w:after="0" w:afterLines="0" w:line="360" w:lineRule="auto"/>
        <w:ind w:left="0" w:leftChars="0" w:right="0" w:rightChars="0" w:firstLine="0" w:firstLineChars="0"/>
        <w:jc w:val="center"/>
        <w:rPr>
          <w:rFonts w:hint="eastAsia"/>
          <w:color w:val="auto"/>
          <w:sz w:val="36"/>
          <w:szCs w:val="36"/>
        </w:rPr>
      </w:pPr>
      <w:r>
        <w:rPr>
          <w:rFonts w:hint="eastAsia"/>
          <w:color w:val="auto"/>
          <w:sz w:val="44"/>
          <w:szCs w:val="44"/>
        </w:rPr>
        <w:t>轴承产业链</w:t>
      </w:r>
      <w:r>
        <w:rPr>
          <w:rFonts w:hint="eastAsia"/>
          <w:color w:val="auto"/>
          <w:sz w:val="44"/>
          <w:szCs w:val="44"/>
        </w:rPr>
        <w:t>商业秘密保护</w:t>
      </w:r>
      <w:r>
        <w:rPr>
          <w:rFonts w:hint="eastAsia"/>
          <w:color w:val="auto"/>
          <w:sz w:val="44"/>
          <w:szCs w:val="44"/>
        </w:rPr>
        <w:t>工作指南</w:t>
      </w:r>
    </w:p>
    <w:sdt>
      <w:sdtPr>
        <w:rPr>
          <w:rFonts w:ascii="宋体" w:hAnsi="宋体" w:eastAsia="宋体"/>
          <w:color w:val="auto"/>
          <w:sz w:val="21"/>
          <w:szCs w:val="22"/>
        </w:rPr>
        <w:id w:val="147471270"/>
        <w15:color w:val="DBDBDB"/>
        <w:docPartObj>
          <w:docPartGallery w:val="Table of Contents"/>
          <w:docPartUnique/>
        </w:docPartObj>
      </w:sdtPr>
      <w:sdtEndPr>
        <w:rPr>
          <w:rFonts w:ascii="Arial" w:hAnsi="Arial" w:eastAsia="等线" w:cs="Arial"/>
          <w:bCs/>
          <w:color w:val="auto"/>
          <w:sz w:val="21"/>
          <w:szCs w:val="32"/>
        </w:rPr>
      </w:sdtEndPr>
      <w:sdtContent>
        <w:p w14:paraId="74C185D4">
          <w:pPr>
            <w:spacing w:before="0" w:beforeLines="0" w:after="0" w:afterLines="0" w:line="240" w:lineRule="auto"/>
            <w:ind w:left="0" w:leftChars="0" w:right="0" w:rightChars="0" w:firstLine="0" w:firstLineChars="0"/>
            <w:jc w:val="center"/>
            <w:rPr>
              <w:color w:val="auto"/>
            </w:rPr>
          </w:pPr>
          <w:r>
            <w:rPr>
              <w:rFonts w:ascii="宋体" w:hAnsi="宋体" w:eastAsia="宋体"/>
              <w:color w:val="auto"/>
              <w:sz w:val="21"/>
            </w:rPr>
            <w:t>目录</w:t>
          </w:r>
        </w:p>
        <w:p w14:paraId="0164A5AC">
          <w:pPr>
            <w:pStyle w:val="11"/>
            <w:tabs>
              <w:tab w:val="right" w:leader="dot" w:pos="9026"/>
            </w:tabs>
            <w:rPr>
              <w:color w:val="auto"/>
            </w:rPr>
          </w:pPr>
          <w:r>
            <w:rPr>
              <w:rFonts w:ascii="Arial" w:hAnsi="Arial" w:eastAsia="等线" w:cs="Arial"/>
              <w:b/>
              <w:bCs/>
              <w:color w:val="auto"/>
              <w:sz w:val="32"/>
              <w:szCs w:val="32"/>
            </w:rPr>
            <w:fldChar w:fldCharType="begin"/>
          </w:r>
          <w:r>
            <w:rPr>
              <w:rFonts w:ascii="Arial" w:hAnsi="Arial" w:eastAsia="等线" w:cs="Arial"/>
              <w:b/>
              <w:bCs/>
              <w:color w:val="auto"/>
              <w:sz w:val="32"/>
              <w:szCs w:val="32"/>
            </w:rPr>
            <w:instrText xml:space="preserve">TOC \o "1-3" \h \u </w:instrText>
          </w:r>
          <w:r>
            <w:rPr>
              <w:rFonts w:ascii="Arial" w:hAnsi="Arial" w:eastAsia="等线" w:cs="Arial"/>
              <w:b/>
              <w:bCs/>
              <w:color w:val="auto"/>
              <w:sz w:val="32"/>
              <w:szCs w:val="32"/>
            </w:rPr>
            <w:fldChar w:fldCharType="separate"/>
          </w: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_Toc7124 </w:instrText>
          </w:r>
          <w:r>
            <w:rPr>
              <w:rFonts w:ascii="Arial" w:hAnsi="Arial" w:eastAsia="等线" w:cs="Arial"/>
              <w:bCs/>
              <w:color w:val="auto"/>
              <w:szCs w:val="32"/>
            </w:rPr>
            <w:fldChar w:fldCharType="separate"/>
          </w:r>
          <w:r>
            <w:rPr>
              <w:color w:val="auto"/>
            </w:rPr>
            <w:t>一、总则</w:t>
          </w:r>
          <w:r>
            <w:rPr>
              <w:color w:val="auto"/>
            </w:rPr>
            <w:tab/>
          </w:r>
          <w:r>
            <w:rPr>
              <w:color w:val="auto"/>
            </w:rPr>
            <w:fldChar w:fldCharType="begin"/>
          </w:r>
          <w:r>
            <w:rPr>
              <w:color w:val="auto"/>
            </w:rPr>
            <w:instrText xml:space="preserve"> PAGEREF _Toc7124 \h </w:instrText>
          </w:r>
          <w:r>
            <w:rPr>
              <w:color w:val="auto"/>
            </w:rPr>
            <w:fldChar w:fldCharType="separate"/>
          </w:r>
          <w:r>
            <w:rPr>
              <w:color w:val="auto"/>
            </w:rPr>
            <w:t>4</w:t>
          </w:r>
          <w:r>
            <w:rPr>
              <w:color w:val="auto"/>
            </w:rPr>
            <w:fldChar w:fldCharType="end"/>
          </w:r>
          <w:r>
            <w:rPr>
              <w:rFonts w:ascii="Arial" w:hAnsi="Arial" w:eastAsia="等线" w:cs="Arial"/>
              <w:bCs/>
              <w:color w:val="auto"/>
              <w:szCs w:val="32"/>
            </w:rPr>
            <w:fldChar w:fldCharType="end"/>
          </w:r>
        </w:p>
        <w:p w14:paraId="6C8DD5F3">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_Toc3946 </w:instrText>
          </w:r>
          <w:r>
            <w:rPr>
              <w:rFonts w:ascii="Arial" w:hAnsi="Arial" w:eastAsia="等线" w:cs="Arial"/>
              <w:bCs/>
              <w:color w:val="auto"/>
              <w:szCs w:val="32"/>
            </w:rPr>
            <w:fldChar w:fldCharType="separate"/>
          </w:r>
          <w:r>
            <w:rPr>
              <w:color w:val="auto"/>
            </w:rPr>
            <w:t>1.1 产业背景与制度意义</w:t>
          </w:r>
          <w:r>
            <w:rPr>
              <w:color w:val="auto"/>
            </w:rPr>
            <w:tab/>
          </w:r>
          <w:r>
            <w:rPr>
              <w:color w:val="auto"/>
            </w:rPr>
            <w:fldChar w:fldCharType="begin"/>
          </w:r>
          <w:r>
            <w:rPr>
              <w:color w:val="auto"/>
            </w:rPr>
            <w:instrText xml:space="preserve"> PAGEREF _Toc3946 \h </w:instrText>
          </w:r>
          <w:r>
            <w:rPr>
              <w:color w:val="auto"/>
            </w:rPr>
            <w:fldChar w:fldCharType="separate"/>
          </w:r>
          <w:r>
            <w:rPr>
              <w:color w:val="auto"/>
            </w:rPr>
            <w:t>4</w:t>
          </w:r>
          <w:r>
            <w:rPr>
              <w:color w:val="auto"/>
            </w:rPr>
            <w:fldChar w:fldCharType="end"/>
          </w:r>
          <w:r>
            <w:rPr>
              <w:rFonts w:ascii="Arial" w:hAnsi="Arial" w:eastAsia="等线" w:cs="Arial"/>
              <w:bCs/>
              <w:color w:val="auto"/>
              <w:szCs w:val="32"/>
            </w:rPr>
            <w:fldChar w:fldCharType="end"/>
          </w:r>
        </w:p>
        <w:p w14:paraId="33D6DB48">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_Toc3795 </w:instrText>
          </w:r>
          <w:r>
            <w:rPr>
              <w:rFonts w:ascii="Arial" w:hAnsi="Arial" w:eastAsia="等线" w:cs="Arial"/>
              <w:bCs/>
              <w:color w:val="auto"/>
              <w:szCs w:val="32"/>
            </w:rPr>
            <w:fldChar w:fldCharType="separate"/>
          </w:r>
          <w:r>
            <w:rPr>
              <w:color w:val="auto"/>
            </w:rPr>
            <w:t>1.2 适用范围</w:t>
          </w:r>
          <w:r>
            <w:rPr>
              <w:color w:val="auto"/>
            </w:rPr>
            <w:tab/>
          </w:r>
          <w:r>
            <w:rPr>
              <w:color w:val="auto"/>
            </w:rPr>
            <w:fldChar w:fldCharType="begin"/>
          </w:r>
          <w:r>
            <w:rPr>
              <w:color w:val="auto"/>
            </w:rPr>
            <w:instrText xml:space="preserve"> PAGEREF _Toc3795 \h </w:instrText>
          </w:r>
          <w:r>
            <w:rPr>
              <w:color w:val="auto"/>
            </w:rPr>
            <w:fldChar w:fldCharType="separate"/>
          </w:r>
          <w:r>
            <w:rPr>
              <w:color w:val="auto"/>
            </w:rPr>
            <w:t>4</w:t>
          </w:r>
          <w:r>
            <w:rPr>
              <w:color w:val="auto"/>
            </w:rPr>
            <w:fldChar w:fldCharType="end"/>
          </w:r>
          <w:r>
            <w:rPr>
              <w:rFonts w:ascii="Arial" w:hAnsi="Arial" w:eastAsia="等线" w:cs="Arial"/>
              <w:bCs/>
              <w:color w:val="auto"/>
              <w:szCs w:val="32"/>
            </w:rPr>
            <w:fldChar w:fldCharType="end"/>
          </w:r>
        </w:p>
        <w:p w14:paraId="674929C2">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_Toc20809 </w:instrText>
          </w:r>
          <w:r>
            <w:rPr>
              <w:rFonts w:ascii="Arial" w:hAnsi="Arial" w:eastAsia="等线" w:cs="Arial"/>
              <w:bCs/>
              <w:color w:val="auto"/>
              <w:szCs w:val="32"/>
            </w:rPr>
            <w:fldChar w:fldCharType="separate"/>
          </w:r>
          <w:r>
            <w:rPr>
              <w:color w:val="auto"/>
            </w:rPr>
            <w:t>1.3 术语与定义</w:t>
          </w:r>
          <w:r>
            <w:rPr>
              <w:color w:val="auto"/>
            </w:rPr>
            <w:tab/>
          </w:r>
          <w:r>
            <w:rPr>
              <w:color w:val="auto"/>
            </w:rPr>
            <w:fldChar w:fldCharType="begin"/>
          </w:r>
          <w:r>
            <w:rPr>
              <w:color w:val="auto"/>
            </w:rPr>
            <w:instrText xml:space="preserve"> PAGEREF _Toc20809 \h </w:instrText>
          </w:r>
          <w:r>
            <w:rPr>
              <w:color w:val="auto"/>
            </w:rPr>
            <w:fldChar w:fldCharType="separate"/>
          </w:r>
          <w:r>
            <w:rPr>
              <w:color w:val="auto"/>
            </w:rPr>
            <w:t>4</w:t>
          </w:r>
          <w:r>
            <w:rPr>
              <w:color w:val="auto"/>
            </w:rPr>
            <w:fldChar w:fldCharType="end"/>
          </w:r>
          <w:r>
            <w:rPr>
              <w:rFonts w:ascii="Arial" w:hAnsi="Arial" w:eastAsia="等线" w:cs="Arial"/>
              <w:bCs/>
              <w:color w:val="auto"/>
              <w:szCs w:val="32"/>
            </w:rPr>
            <w:fldChar w:fldCharType="end"/>
          </w:r>
        </w:p>
        <w:p w14:paraId="0062FAAE">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_Toc6723 </w:instrText>
          </w:r>
          <w:r>
            <w:rPr>
              <w:rFonts w:ascii="Arial" w:hAnsi="Arial" w:eastAsia="等线" w:cs="Arial"/>
              <w:bCs/>
              <w:color w:val="auto"/>
              <w:szCs w:val="32"/>
            </w:rPr>
            <w:fldChar w:fldCharType="separate"/>
          </w:r>
          <w:r>
            <w:rPr>
              <w:color w:val="auto"/>
            </w:rPr>
            <w:t>1.3.1 轴承产业商业秘密</w:t>
          </w:r>
          <w:r>
            <w:rPr>
              <w:color w:val="auto"/>
            </w:rPr>
            <w:tab/>
          </w:r>
          <w:r>
            <w:rPr>
              <w:color w:val="auto"/>
            </w:rPr>
            <w:fldChar w:fldCharType="begin"/>
          </w:r>
          <w:r>
            <w:rPr>
              <w:color w:val="auto"/>
            </w:rPr>
            <w:instrText xml:space="preserve"> PAGEREF _Toc6723 \h </w:instrText>
          </w:r>
          <w:r>
            <w:rPr>
              <w:color w:val="auto"/>
            </w:rPr>
            <w:fldChar w:fldCharType="separate"/>
          </w:r>
          <w:r>
            <w:rPr>
              <w:color w:val="auto"/>
            </w:rPr>
            <w:t>4</w:t>
          </w:r>
          <w:r>
            <w:rPr>
              <w:color w:val="auto"/>
            </w:rPr>
            <w:fldChar w:fldCharType="end"/>
          </w:r>
          <w:r>
            <w:rPr>
              <w:rFonts w:ascii="Arial" w:hAnsi="Arial" w:eastAsia="等线" w:cs="Arial"/>
              <w:bCs/>
              <w:color w:val="auto"/>
              <w:szCs w:val="32"/>
            </w:rPr>
            <w:fldChar w:fldCharType="end"/>
          </w:r>
        </w:p>
        <w:p w14:paraId="52E52310">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_Toc22263 </w:instrText>
          </w:r>
          <w:r>
            <w:rPr>
              <w:rFonts w:ascii="Arial" w:hAnsi="Arial" w:eastAsia="等线" w:cs="Arial"/>
              <w:bCs/>
              <w:color w:val="auto"/>
              <w:szCs w:val="32"/>
            </w:rPr>
            <w:fldChar w:fldCharType="separate"/>
          </w:r>
          <w:r>
            <w:rPr>
              <w:color w:val="auto"/>
            </w:rPr>
            <w:t>1.3.2 技术信息</w:t>
          </w:r>
          <w:r>
            <w:rPr>
              <w:color w:val="auto"/>
            </w:rPr>
            <w:tab/>
          </w:r>
          <w:r>
            <w:rPr>
              <w:color w:val="auto"/>
            </w:rPr>
            <w:fldChar w:fldCharType="begin"/>
          </w:r>
          <w:r>
            <w:rPr>
              <w:color w:val="auto"/>
            </w:rPr>
            <w:instrText xml:space="preserve"> PAGEREF _Toc22263 \h </w:instrText>
          </w:r>
          <w:r>
            <w:rPr>
              <w:color w:val="auto"/>
            </w:rPr>
            <w:fldChar w:fldCharType="separate"/>
          </w:r>
          <w:r>
            <w:rPr>
              <w:color w:val="auto"/>
            </w:rPr>
            <w:t>4</w:t>
          </w:r>
          <w:r>
            <w:rPr>
              <w:color w:val="auto"/>
            </w:rPr>
            <w:fldChar w:fldCharType="end"/>
          </w:r>
          <w:r>
            <w:rPr>
              <w:rFonts w:ascii="Arial" w:hAnsi="Arial" w:eastAsia="等线" w:cs="Arial"/>
              <w:bCs/>
              <w:color w:val="auto"/>
              <w:szCs w:val="32"/>
            </w:rPr>
            <w:fldChar w:fldCharType="end"/>
          </w:r>
        </w:p>
        <w:p w14:paraId="42DA3A47">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_Toc16361 </w:instrText>
          </w:r>
          <w:r>
            <w:rPr>
              <w:rFonts w:ascii="Arial" w:hAnsi="Arial" w:eastAsia="等线" w:cs="Arial"/>
              <w:bCs/>
              <w:color w:val="auto"/>
              <w:szCs w:val="32"/>
            </w:rPr>
            <w:fldChar w:fldCharType="separate"/>
          </w:r>
          <w:r>
            <w:rPr>
              <w:color w:val="auto"/>
            </w:rPr>
            <w:t>1.3.3 经营信息</w:t>
          </w:r>
          <w:r>
            <w:rPr>
              <w:color w:val="auto"/>
            </w:rPr>
            <w:tab/>
          </w:r>
          <w:r>
            <w:rPr>
              <w:color w:val="auto"/>
            </w:rPr>
            <w:fldChar w:fldCharType="begin"/>
          </w:r>
          <w:r>
            <w:rPr>
              <w:color w:val="auto"/>
            </w:rPr>
            <w:instrText xml:space="preserve"> PAGEREF _Toc16361 \h </w:instrText>
          </w:r>
          <w:r>
            <w:rPr>
              <w:color w:val="auto"/>
            </w:rPr>
            <w:fldChar w:fldCharType="separate"/>
          </w:r>
          <w:r>
            <w:rPr>
              <w:color w:val="auto"/>
            </w:rPr>
            <w:t>5</w:t>
          </w:r>
          <w:r>
            <w:rPr>
              <w:color w:val="auto"/>
            </w:rPr>
            <w:fldChar w:fldCharType="end"/>
          </w:r>
          <w:r>
            <w:rPr>
              <w:rFonts w:ascii="Arial" w:hAnsi="Arial" w:eastAsia="等线" w:cs="Arial"/>
              <w:bCs/>
              <w:color w:val="auto"/>
              <w:szCs w:val="32"/>
            </w:rPr>
            <w:fldChar w:fldCharType="end"/>
          </w:r>
        </w:p>
        <w:p w14:paraId="4DBB9672">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_Toc13849 </w:instrText>
          </w:r>
          <w:r>
            <w:rPr>
              <w:rFonts w:ascii="Arial" w:hAnsi="Arial" w:eastAsia="等线" w:cs="Arial"/>
              <w:bCs/>
              <w:color w:val="auto"/>
              <w:szCs w:val="32"/>
            </w:rPr>
            <w:fldChar w:fldCharType="separate"/>
          </w:r>
          <w:r>
            <w:rPr>
              <w:color w:val="auto"/>
            </w:rPr>
            <w:t>1.3.4 涉密人员</w:t>
          </w:r>
          <w:r>
            <w:rPr>
              <w:color w:val="auto"/>
            </w:rPr>
            <w:tab/>
          </w:r>
          <w:r>
            <w:rPr>
              <w:color w:val="auto"/>
            </w:rPr>
            <w:fldChar w:fldCharType="begin"/>
          </w:r>
          <w:r>
            <w:rPr>
              <w:color w:val="auto"/>
            </w:rPr>
            <w:instrText xml:space="preserve"> PAGEREF _Toc13849 \h </w:instrText>
          </w:r>
          <w:r>
            <w:rPr>
              <w:color w:val="auto"/>
            </w:rPr>
            <w:fldChar w:fldCharType="separate"/>
          </w:r>
          <w:r>
            <w:rPr>
              <w:color w:val="auto"/>
            </w:rPr>
            <w:t>5</w:t>
          </w:r>
          <w:r>
            <w:rPr>
              <w:color w:val="auto"/>
            </w:rPr>
            <w:fldChar w:fldCharType="end"/>
          </w:r>
          <w:r>
            <w:rPr>
              <w:rFonts w:ascii="Arial" w:hAnsi="Arial" w:eastAsia="等线" w:cs="Arial"/>
              <w:bCs/>
              <w:color w:val="auto"/>
              <w:szCs w:val="32"/>
            </w:rPr>
            <w:fldChar w:fldCharType="end"/>
          </w:r>
        </w:p>
        <w:p w14:paraId="7B90BFCD">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_Toc21987 </w:instrText>
          </w:r>
          <w:r>
            <w:rPr>
              <w:rFonts w:ascii="Arial" w:hAnsi="Arial" w:eastAsia="等线" w:cs="Arial"/>
              <w:bCs/>
              <w:color w:val="auto"/>
              <w:szCs w:val="32"/>
            </w:rPr>
            <w:fldChar w:fldCharType="separate"/>
          </w:r>
          <w:r>
            <w:rPr>
              <w:color w:val="auto"/>
            </w:rPr>
            <w:t>1.3.5 涉密载体</w:t>
          </w:r>
          <w:r>
            <w:rPr>
              <w:color w:val="auto"/>
            </w:rPr>
            <w:tab/>
          </w:r>
          <w:r>
            <w:rPr>
              <w:color w:val="auto"/>
            </w:rPr>
            <w:fldChar w:fldCharType="begin"/>
          </w:r>
          <w:r>
            <w:rPr>
              <w:color w:val="auto"/>
            </w:rPr>
            <w:instrText xml:space="preserve"> PAGEREF _Toc21987 \h </w:instrText>
          </w:r>
          <w:r>
            <w:rPr>
              <w:color w:val="auto"/>
            </w:rPr>
            <w:fldChar w:fldCharType="separate"/>
          </w:r>
          <w:r>
            <w:rPr>
              <w:color w:val="auto"/>
            </w:rPr>
            <w:t>5</w:t>
          </w:r>
          <w:r>
            <w:rPr>
              <w:color w:val="auto"/>
            </w:rPr>
            <w:fldChar w:fldCharType="end"/>
          </w:r>
          <w:r>
            <w:rPr>
              <w:rFonts w:ascii="Arial" w:hAnsi="Arial" w:eastAsia="等线" w:cs="Arial"/>
              <w:bCs/>
              <w:color w:val="auto"/>
              <w:szCs w:val="32"/>
            </w:rPr>
            <w:fldChar w:fldCharType="end"/>
          </w:r>
        </w:p>
        <w:p w14:paraId="6102A16E">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_Toc28449 </w:instrText>
          </w:r>
          <w:r>
            <w:rPr>
              <w:rFonts w:ascii="Arial" w:hAnsi="Arial" w:eastAsia="等线" w:cs="Arial"/>
              <w:bCs/>
              <w:color w:val="auto"/>
              <w:szCs w:val="32"/>
            </w:rPr>
            <w:fldChar w:fldCharType="separate"/>
          </w:r>
          <w:r>
            <w:rPr>
              <w:color w:val="auto"/>
            </w:rPr>
            <w:t>1.3.6 涉密区域</w:t>
          </w:r>
          <w:r>
            <w:rPr>
              <w:color w:val="auto"/>
            </w:rPr>
            <w:tab/>
          </w:r>
          <w:r>
            <w:rPr>
              <w:color w:val="auto"/>
            </w:rPr>
            <w:fldChar w:fldCharType="begin"/>
          </w:r>
          <w:r>
            <w:rPr>
              <w:color w:val="auto"/>
            </w:rPr>
            <w:instrText xml:space="preserve"> PAGEREF _Toc28449 \h </w:instrText>
          </w:r>
          <w:r>
            <w:rPr>
              <w:color w:val="auto"/>
            </w:rPr>
            <w:fldChar w:fldCharType="separate"/>
          </w:r>
          <w:r>
            <w:rPr>
              <w:color w:val="auto"/>
            </w:rPr>
            <w:t>5</w:t>
          </w:r>
          <w:r>
            <w:rPr>
              <w:color w:val="auto"/>
            </w:rPr>
            <w:fldChar w:fldCharType="end"/>
          </w:r>
          <w:r>
            <w:rPr>
              <w:rFonts w:ascii="Arial" w:hAnsi="Arial" w:eastAsia="等线" w:cs="Arial"/>
              <w:bCs/>
              <w:color w:val="auto"/>
              <w:szCs w:val="32"/>
            </w:rPr>
            <w:fldChar w:fldCharType="end"/>
          </w:r>
        </w:p>
        <w:p w14:paraId="7A8B4E29">
          <w:pPr>
            <w:pStyle w:val="11"/>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_Toc31366 </w:instrText>
          </w:r>
          <w:r>
            <w:rPr>
              <w:rFonts w:ascii="Arial" w:hAnsi="Arial" w:eastAsia="等线" w:cs="Arial"/>
              <w:bCs/>
              <w:color w:val="auto"/>
              <w:szCs w:val="32"/>
            </w:rPr>
            <w:fldChar w:fldCharType="separate"/>
          </w:r>
          <w:r>
            <w:rPr>
              <w:color w:val="auto"/>
            </w:rPr>
            <w:t>二、商业秘密保护原则</w:t>
          </w:r>
          <w:r>
            <w:rPr>
              <w:color w:val="auto"/>
            </w:rPr>
            <w:tab/>
          </w:r>
          <w:r>
            <w:rPr>
              <w:color w:val="auto"/>
            </w:rPr>
            <w:fldChar w:fldCharType="begin"/>
          </w:r>
          <w:r>
            <w:rPr>
              <w:color w:val="auto"/>
            </w:rPr>
            <w:instrText xml:space="preserve"> PAGEREF _Toc31366 \h </w:instrText>
          </w:r>
          <w:r>
            <w:rPr>
              <w:color w:val="auto"/>
            </w:rPr>
            <w:fldChar w:fldCharType="separate"/>
          </w:r>
          <w:r>
            <w:rPr>
              <w:color w:val="auto"/>
            </w:rPr>
            <w:t>6</w:t>
          </w:r>
          <w:r>
            <w:rPr>
              <w:color w:val="auto"/>
            </w:rPr>
            <w:fldChar w:fldCharType="end"/>
          </w:r>
          <w:r>
            <w:rPr>
              <w:rFonts w:ascii="Arial" w:hAnsi="Arial" w:eastAsia="等线" w:cs="Arial"/>
              <w:bCs/>
              <w:color w:val="auto"/>
              <w:szCs w:val="32"/>
            </w:rPr>
            <w:fldChar w:fldCharType="end"/>
          </w:r>
        </w:p>
        <w:p w14:paraId="5AD4FF93">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_Toc20524 </w:instrText>
          </w:r>
          <w:r>
            <w:rPr>
              <w:rFonts w:ascii="Arial" w:hAnsi="Arial" w:eastAsia="等线" w:cs="Arial"/>
              <w:bCs/>
              <w:color w:val="auto"/>
              <w:szCs w:val="32"/>
            </w:rPr>
            <w:fldChar w:fldCharType="separate"/>
          </w:r>
          <w:r>
            <w:rPr>
              <w:color w:val="auto"/>
            </w:rPr>
            <w:t>2.1 战略导向原则</w:t>
          </w:r>
          <w:r>
            <w:rPr>
              <w:color w:val="auto"/>
            </w:rPr>
            <w:tab/>
          </w:r>
          <w:r>
            <w:rPr>
              <w:color w:val="auto"/>
            </w:rPr>
            <w:fldChar w:fldCharType="begin"/>
          </w:r>
          <w:r>
            <w:rPr>
              <w:color w:val="auto"/>
            </w:rPr>
            <w:instrText xml:space="preserve"> PAGEREF _Toc20524 \h </w:instrText>
          </w:r>
          <w:r>
            <w:rPr>
              <w:color w:val="auto"/>
            </w:rPr>
            <w:fldChar w:fldCharType="separate"/>
          </w:r>
          <w:r>
            <w:rPr>
              <w:color w:val="auto"/>
            </w:rPr>
            <w:t>6</w:t>
          </w:r>
          <w:r>
            <w:rPr>
              <w:color w:val="auto"/>
            </w:rPr>
            <w:fldChar w:fldCharType="end"/>
          </w:r>
          <w:r>
            <w:rPr>
              <w:rFonts w:ascii="Arial" w:hAnsi="Arial" w:eastAsia="等线" w:cs="Arial"/>
              <w:bCs/>
              <w:color w:val="auto"/>
              <w:szCs w:val="32"/>
            </w:rPr>
            <w:fldChar w:fldCharType="end"/>
          </w:r>
        </w:p>
        <w:p w14:paraId="2B3BCBE3">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_Toc12325 </w:instrText>
          </w:r>
          <w:r>
            <w:rPr>
              <w:rFonts w:ascii="Arial" w:hAnsi="Arial" w:eastAsia="等线" w:cs="Arial"/>
              <w:bCs/>
              <w:color w:val="auto"/>
              <w:szCs w:val="32"/>
            </w:rPr>
            <w:fldChar w:fldCharType="separate"/>
          </w:r>
          <w:r>
            <w:rPr>
              <w:color w:val="auto"/>
            </w:rPr>
            <w:t>2.2 全流程管控原则</w:t>
          </w:r>
          <w:r>
            <w:rPr>
              <w:color w:val="auto"/>
            </w:rPr>
            <w:tab/>
          </w:r>
          <w:r>
            <w:rPr>
              <w:color w:val="auto"/>
            </w:rPr>
            <w:fldChar w:fldCharType="begin"/>
          </w:r>
          <w:r>
            <w:rPr>
              <w:color w:val="auto"/>
            </w:rPr>
            <w:instrText xml:space="preserve"> PAGEREF _Toc12325 \h </w:instrText>
          </w:r>
          <w:r>
            <w:rPr>
              <w:color w:val="auto"/>
            </w:rPr>
            <w:fldChar w:fldCharType="separate"/>
          </w:r>
          <w:r>
            <w:rPr>
              <w:color w:val="auto"/>
            </w:rPr>
            <w:t>6</w:t>
          </w:r>
          <w:r>
            <w:rPr>
              <w:color w:val="auto"/>
            </w:rPr>
            <w:fldChar w:fldCharType="end"/>
          </w:r>
          <w:r>
            <w:rPr>
              <w:rFonts w:ascii="Arial" w:hAnsi="Arial" w:eastAsia="等线" w:cs="Arial"/>
              <w:bCs/>
              <w:color w:val="auto"/>
              <w:szCs w:val="32"/>
            </w:rPr>
            <w:fldChar w:fldCharType="end"/>
          </w:r>
        </w:p>
        <w:p w14:paraId="3DB6FBAF">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_Toc21547 </w:instrText>
          </w:r>
          <w:r>
            <w:rPr>
              <w:rFonts w:ascii="Arial" w:hAnsi="Arial" w:eastAsia="等线" w:cs="Arial"/>
              <w:bCs/>
              <w:color w:val="auto"/>
              <w:szCs w:val="32"/>
            </w:rPr>
            <w:fldChar w:fldCharType="separate"/>
          </w:r>
          <w:r>
            <w:rPr>
              <w:color w:val="auto"/>
            </w:rPr>
            <w:t>2.3 分级分类原则</w:t>
          </w:r>
          <w:r>
            <w:rPr>
              <w:color w:val="auto"/>
            </w:rPr>
            <w:tab/>
          </w:r>
          <w:r>
            <w:rPr>
              <w:color w:val="auto"/>
            </w:rPr>
            <w:fldChar w:fldCharType="begin"/>
          </w:r>
          <w:r>
            <w:rPr>
              <w:color w:val="auto"/>
            </w:rPr>
            <w:instrText xml:space="preserve"> PAGEREF _Toc21547 \h </w:instrText>
          </w:r>
          <w:r>
            <w:rPr>
              <w:color w:val="auto"/>
            </w:rPr>
            <w:fldChar w:fldCharType="separate"/>
          </w:r>
          <w:r>
            <w:rPr>
              <w:color w:val="auto"/>
            </w:rPr>
            <w:t>6</w:t>
          </w:r>
          <w:r>
            <w:rPr>
              <w:color w:val="auto"/>
            </w:rPr>
            <w:fldChar w:fldCharType="end"/>
          </w:r>
          <w:r>
            <w:rPr>
              <w:rFonts w:ascii="Arial" w:hAnsi="Arial" w:eastAsia="等线" w:cs="Arial"/>
              <w:bCs/>
              <w:color w:val="auto"/>
              <w:szCs w:val="32"/>
            </w:rPr>
            <w:fldChar w:fldCharType="end"/>
          </w:r>
        </w:p>
        <w:p w14:paraId="22E1D0A5">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_Toc10291 </w:instrText>
          </w:r>
          <w:r>
            <w:rPr>
              <w:rFonts w:ascii="Arial" w:hAnsi="Arial" w:eastAsia="等线" w:cs="Arial"/>
              <w:bCs/>
              <w:color w:val="auto"/>
              <w:szCs w:val="32"/>
            </w:rPr>
            <w:fldChar w:fldCharType="separate"/>
          </w:r>
          <w:r>
            <w:rPr>
              <w:color w:val="auto"/>
            </w:rPr>
            <w:t>2.4 最小授权原则</w:t>
          </w:r>
          <w:r>
            <w:rPr>
              <w:color w:val="auto"/>
            </w:rPr>
            <w:tab/>
          </w:r>
          <w:r>
            <w:rPr>
              <w:color w:val="auto"/>
            </w:rPr>
            <w:fldChar w:fldCharType="begin"/>
          </w:r>
          <w:r>
            <w:rPr>
              <w:color w:val="auto"/>
            </w:rPr>
            <w:instrText xml:space="preserve"> PAGEREF _Toc10291 \h </w:instrText>
          </w:r>
          <w:r>
            <w:rPr>
              <w:color w:val="auto"/>
            </w:rPr>
            <w:fldChar w:fldCharType="separate"/>
          </w:r>
          <w:r>
            <w:rPr>
              <w:color w:val="auto"/>
            </w:rPr>
            <w:t>7</w:t>
          </w:r>
          <w:r>
            <w:rPr>
              <w:color w:val="auto"/>
            </w:rPr>
            <w:fldChar w:fldCharType="end"/>
          </w:r>
          <w:r>
            <w:rPr>
              <w:rFonts w:ascii="Arial" w:hAnsi="Arial" w:eastAsia="等线" w:cs="Arial"/>
              <w:bCs/>
              <w:color w:val="auto"/>
              <w:szCs w:val="32"/>
            </w:rPr>
            <w:fldChar w:fldCharType="end"/>
          </w:r>
        </w:p>
        <w:p w14:paraId="5680E088">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_Toc2047 </w:instrText>
          </w:r>
          <w:r>
            <w:rPr>
              <w:rFonts w:ascii="Arial" w:hAnsi="Arial" w:eastAsia="等线" w:cs="Arial"/>
              <w:bCs/>
              <w:color w:val="auto"/>
              <w:szCs w:val="32"/>
            </w:rPr>
            <w:fldChar w:fldCharType="separate"/>
          </w:r>
          <w:r>
            <w:rPr>
              <w:color w:val="auto"/>
            </w:rPr>
            <w:t>2.5 技术与管理结合原则</w:t>
          </w:r>
          <w:r>
            <w:rPr>
              <w:color w:val="auto"/>
            </w:rPr>
            <w:tab/>
          </w:r>
          <w:r>
            <w:rPr>
              <w:color w:val="auto"/>
            </w:rPr>
            <w:fldChar w:fldCharType="begin"/>
          </w:r>
          <w:r>
            <w:rPr>
              <w:color w:val="auto"/>
            </w:rPr>
            <w:instrText xml:space="preserve"> PAGEREF _Toc2047 \h </w:instrText>
          </w:r>
          <w:r>
            <w:rPr>
              <w:color w:val="auto"/>
            </w:rPr>
            <w:fldChar w:fldCharType="separate"/>
          </w:r>
          <w:r>
            <w:rPr>
              <w:color w:val="auto"/>
            </w:rPr>
            <w:t>7</w:t>
          </w:r>
          <w:r>
            <w:rPr>
              <w:color w:val="auto"/>
            </w:rPr>
            <w:fldChar w:fldCharType="end"/>
          </w:r>
          <w:r>
            <w:rPr>
              <w:rFonts w:ascii="Arial" w:hAnsi="Arial" w:eastAsia="等线" w:cs="Arial"/>
              <w:bCs/>
              <w:color w:val="auto"/>
              <w:szCs w:val="32"/>
            </w:rPr>
            <w:fldChar w:fldCharType="end"/>
          </w:r>
        </w:p>
        <w:p w14:paraId="292BF4B9">
          <w:pPr>
            <w:pStyle w:val="11"/>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_Toc16479 </w:instrText>
          </w:r>
          <w:r>
            <w:rPr>
              <w:rFonts w:ascii="Arial" w:hAnsi="Arial" w:eastAsia="等线" w:cs="Arial"/>
              <w:bCs/>
              <w:color w:val="auto"/>
              <w:szCs w:val="32"/>
            </w:rPr>
            <w:fldChar w:fldCharType="separate"/>
          </w:r>
          <w:r>
            <w:rPr>
              <w:color w:val="auto"/>
            </w:rPr>
            <w:t>三、商业秘密保护组织体系</w:t>
          </w:r>
          <w:r>
            <w:rPr>
              <w:color w:val="auto"/>
            </w:rPr>
            <w:tab/>
          </w:r>
          <w:r>
            <w:rPr>
              <w:color w:val="auto"/>
            </w:rPr>
            <w:fldChar w:fldCharType="begin"/>
          </w:r>
          <w:r>
            <w:rPr>
              <w:color w:val="auto"/>
            </w:rPr>
            <w:instrText xml:space="preserve"> PAGEREF _Toc16479 \h </w:instrText>
          </w:r>
          <w:r>
            <w:rPr>
              <w:color w:val="auto"/>
            </w:rPr>
            <w:fldChar w:fldCharType="separate"/>
          </w:r>
          <w:r>
            <w:rPr>
              <w:color w:val="auto"/>
            </w:rPr>
            <w:t>7</w:t>
          </w:r>
          <w:r>
            <w:rPr>
              <w:color w:val="auto"/>
            </w:rPr>
            <w:fldChar w:fldCharType="end"/>
          </w:r>
          <w:r>
            <w:rPr>
              <w:rFonts w:ascii="Arial" w:hAnsi="Arial" w:eastAsia="等线" w:cs="Arial"/>
              <w:bCs/>
              <w:color w:val="auto"/>
              <w:szCs w:val="32"/>
            </w:rPr>
            <w:fldChar w:fldCharType="end"/>
          </w:r>
        </w:p>
        <w:p w14:paraId="2E9A4100">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_Toc3492 </w:instrText>
          </w:r>
          <w:r>
            <w:rPr>
              <w:rFonts w:ascii="Arial" w:hAnsi="Arial" w:eastAsia="等线" w:cs="Arial"/>
              <w:bCs/>
              <w:color w:val="auto"/>
              <w:szCs w:val="32"/>
            </w:rPr>
            <w:fldChar w:fldCharType="separate"/>
          </w:r>
          <w:r>
            <w:rPr>
              <w:color w:val="auto"/>
            </w:rPr>
            <w:t>3.1 组织架构设置</w:t>
          </w:r>
          <w:r>
            <w:rPr>
              <w:color w:val="auto"/>
            </w:rPr>
            <w:tab/>
          </w:r>
          <w:r>
            <w:rPr>
              <w:color w:val="auto"/>
            </w:rPr>
            <w:fldChar w:fldCharType="begin"/>
          </w:r>
          <w:r>
            <w:rPr>
              <w:color w:val="auto"/>
            </w:rPr>
            <w:instrText xml:space="preserve"> PAGEREF _Toc3492 \h </w:instrText>
          </w:r>
          <w:r>
            <w:rPr>
              <w:color w:val="auto"/>
            </w:rPr>
            <w:fldChar w:fldCharType="separate"/>
          </w:r>
          <w:r>
            <w:rPr>
              <w:color w:val="auto"/>
            </w:rPr>
            <w:t>7</w:t>
          </w:r>
          <w:r>
            <w:rPr>
              <w:color w:val="auto"/>
            </w:rPr>
            <w:fldChar w:fldCharType="end"/>
          </w:r>
          <w:r>
            <w:rPr>
              <w:rFonts w:ascii="Arial" w:hAnsi="Arial" w:eastAsia="等线" w:cs="Arial"/>
              <w:bCs/>
              <w:color w:val="auto"/>
              <w:szCs w:val="32"/>
            </w:rPr>
            <w:fldChar w:fldCharType="end"/>
          </w:r>
        </w:p>
        <w:p w14:paraId="21A72DEF">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_Toc2454 </w:instrText>
          </w:r>
          <w:r>
            <w:rPr>
              <w:rFonts w:ascii="Arial" w:hAnsi="Arial" w:eastAsia="等线" w:cs="Arial"/>
              <w:bCs/>
              <w:color w:val="auto"/>
              <w:szCs w:val="32"/>
            </w:rPr>
            <w:fldChar w:fldCharType="separate"/>
          </w:r>
          <w:r>
            <w:rPr>
              <w:color w:val="auto"/>
            </w:rPr>
            <w:t>3.1.1 决策层：保密委员会</w:t>
          </w:r>
          <w:r>
            <w:rPr>
              <w:color w:val="auto"/>
            </w:rPr>
            <w:tab/>
          </w:r>
          <w:r>
            <w:rPr>
              <w:color w:val="auto"/>
            </w:rPr>
            <w:fldChar w:fldCharType="begin"/>
          </w:r>
          <w:r>
            <w:rPr>
              <w:color w:val="auto"/>
            </w:rPr>
            <w:instrText xml:space="preserve"> PAGEREF _Toc2454 \h </w:instrText>
          </w:r>
          <w:r>
            <w:rPr>
              <w:color w:val="auto"/>
            </w:rPr>
            <w:fldChar w:fldCharType="separate"/>
          </w:r>
          <w:r>
            <w:rPr>
              <w:color w:val="auto"/>
            </w:rPr>
            <w:t>7</w:t>
          </w:r>
          <w:r>
            <w:rPr>
              <w:color w:val="auto"/>
            </w:rPr>
            <w:fldChar w:fldCharType="end"/>
          </w:r>
          <w:r>
            <w:rPr>
              <w:rFonts w:ascii="Arial" w:hAnsi="Arial" w:eastAsia="等线" w:cs="Arial"/>
              <w:bCs/>
              <w:color w:val="auto"/>
              <w:szCs w:val="32"/>
            </w:rPr>
            <w:fldChar w:fldCharType="end"/>
          </w:r>
        </w:p>
        <w:p w14:paraId="2BEB1F56">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_Toc21933 </w:instrText>
          </w:r>
          <w:r>
            <w:rPr>
              <w:rFonts w:ascii="Arial" w:hAnsi="Arial" w:eastAsia="等线" w:cs="Arial"/>
              <w:bCs/>
              <w:color w:val="auto"/>
              <w:szCs w:val="32"/>
            </w:rPr>
            <w:fldChar w:fldCharType="separate"/>
          </w:r>
          <w:r>
            <w:rPr>
              <w:color w:val="auto"/>
            </w:rPr>
            <w:t>3.1.2 管理层：保密管理部门</w:t>
          </w:r>
          <w:r>
            <w:rPr>
              <w:color w:val="auto"/>
            </w:rPr>
            <w:tab/>
          </w:r>
          <w:r>
            <w:rPr>
              <w:color w:val="auto"/>
            </w:rPr>
            <w:fldChar w:fldCharType="begin"/>
          </w:r>
          <w:r>
            <w:rPr>
              <w:color w:val="auto"/>
            </w:rPr>
            <w:instrText xml:space="preserve"> PAGEREF _Toc21933 \h </w:instrText>
          </w:r>
          <w:r>
            <w:rPr>
              <w:color w:val="auto"/>
            </w:rPr>
            <w:fldChar w:fldCharType="separate"/>
          </w:r>
          <w:r>
            <w:rPr>
              <w:color w:val="auto"/>
            </w:rPr>
            <w:t>8</w:t>
          </w:r>
          <w:r>
            <w:rPr>
              <w:color w:val="auto"/>
            </w:rPr>
            <w:fldChar w:fldCharType="end"/>
          </w:r>
          <w:r>
            <w:rPr>
              <w:rFonts w:ascii="Arial" w:hAnsi="Arial" w:eastAsia="等线" w:cs="Arial"/>
              <w:bCs/>
              <w:color w:val="auto"/>
              <w:szCs w:val="32"/>
            </w:rPr>
            <w:fldChar w:fldCharType="end"/>
          </w:r>
        </w:p>
        <w:p w14:paraId="76DFEBAA">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_Toc12306 </w:instrText>
          </w:r>
          <w:r>
            <w:rPr>
              <w:rFonts w:ascii="Arial" w:hAnsi="Arial" w:eastAsia="等线" w:cs="Arial"/>
              <w:bCs/>
              <w:color w:val="auto"/>
              <w:szCs w:val="32"/>
            </w:rPr>
            <w:fldChar w:fldCharType="separate"/>
          </w:r>
          <w:r>
            <w:rPr>
              <w:color w:val="auto"/>
            </w:rPr>
            <w:t>3.1.3 执行层：部门保密员与涉密岗位</w:t>
          </w:r>
          <w:r>
            <w:rPr>
              <w:color w:val="auto"/>
            </w:rPr>
            <w:tab/>
          </w:r>
          <w:r>
            <w:rPr>
              <w:color w:val="auto"/>
            </w:rPr>
            <w:fldChar w:fldCharType="begin"/>
          </w:r>
          <w:r>
            <w:rPr>
              <w:color w:val="auto"/>
            </w:rPr>
            <w:instrText xml:space="preserve"> PAGEREF _Toc12306 \h </w:instrText>
          </w:r>
          <w:r>
            <w:rPr>
              <w:color w:val="auto"/>
            </w:rPr>
            <w:fldChar w:fldCharType="separate"/>
          </w:r>
          <w:r>
            <w:rPr>
              <w:color w:val="auto"/>
            </w:rPr>
            <w:t>8</w:t>
          </w:r>
          <w:r>
            <w:rPr>
              <w:color w:val="auto"/>
            </w:rPr>
            <w:fldChar w:fldCharType="end"/>
          </w:r>
          <w:r>
            <w:rPr>
              <w:rFonts w:ascii="Arial" w:hAnsi="Arial" w:eastAsia="等线" w:cs="Arial"/>
              <w:bCs/>
              <w:color w:val="auto"/>
              <w:szCs w:val="32"/>
            </w:rPr>
            <w:fldChar w:fldCharType="end"/>
          </w:r>
        </w:p>
        <w:p w14:paraId="34A101A4">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_Toc10647 </w:instrText>
          </w:r>
          <w:r>
            <w:rPr>
              <w:rFonts w:ascii="Arial" w:hAnsi="Arial" w:eastAsia="等线" w:cs="Arial"/>
              <w:bCs/>
              <w:color w:val="auto"/>
              <w:szCs w:val="32"/>
            </w:rPr>
            <w:fldChar w:fldCharType="separate"/>
          </w:r>
          <w:r>
            <w:rPr>
              <w:color w:val="auto"/>
            </w:rPr>
            <w:t>3.2 跨部门协作机制</w:t>
          </w:r>
          <w:r>
            <w:rPr>
              <w:color w:val="auto"/>
            </w:rPr>
            <w:tab/>
          </w:r>
          <w:r>
            <w:rPr>
              <w:color w:val="auto"/>
            </w:rPr>
            <w:fldChar w:fldCharType="begin"/>
          </w:r>
          <w:r>
            <w:rPr>
              <w:color w:val="auto"/>
            </w:rPr>
            <w:instrText xml:space="preserve"> PAGEREF _Toc10647 \h </w:instrText>
          </w:r>
          <w:r>
            <w:rPr>
              <w:color w:val="auto"/>
            </w:rPr>
            <w:fldChar w:fldCharType="separate"/>
          </w:r>
          <w:r>
            <w:rPr>
              <w:color w:val="auto"/>
            </w:rPr>
            <w:t>8</w:t>
          </w:r>
          <w:r>
            <w:rPr>
              <w:color w:val="auto"/>
            </w:rPr>
            <w:fldChar w:fldCharType="end"/>
          </w:r>
          <w:r>
            <w:rPr>
              <w:rFonts w:ascii="Arial" w:hAnsi="Arial" w:eastAsia="等线" w:cs="Arial"/>
              <w:bCs/>
              <w:color w:val="auto"/>
              <w:szCs w:val="32"/>
            </w:rPr>
            <w:fldChar w:fldCharType="end"/>
          </w:r>
        </w:p>
        <w:p w14:paraId="0CF3D353">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_Toc5340 </w:instrText>
          </w:r>
          <w:r>
            <w:rPr>
              <w:rFonts w:ascii="Arial" w:hAnsi="Arial" w:eastAsia="等线" w:cs="Arial"/>
              <w:bCs/>
              <w:color w:val="auto"/>
              <w:szCs w:val="32"/>
            </w:rPr>
            <w:fldChar w:fldCharType="separate"/>
          </w:r>
          <w:r>
            <w:rPr>
              <w:color w:val="auto"/>
            </w:rPr>
            <w:t>3.3 外部协作机制</w:t>
          </w:r>
          <w:r>
            <w:rPr>
              <w:color w:val="auto"/>
            </w:rPr>
            <w:tab/>
          </w:r>
          <w:r>
            <w:rPr>
              <w:color w:val="auto"/>
            </w:rPr>
            <w:fldChar w:fldCharType="begin"/>
          </w:r>
          <w:r>
            <w:rPr>
              <w:color w:val="auto"/>
            </w:rPr>
            <w:instrText xml:space="preserve"> PAGEREF _Toc5340 \h </w:instrText>
          </w:r>
          <w:r>
            <w:rPr>
              <w:color w:val="auto"/>
            </w:rPr>
            <w:fldChar w:fldCharType="separate"/>
          </w:r>
          <w:r>
            <w:rPr>
              <w:color w:val="auto"/>
            </w:rPr>
            <w:t>8</w:t>
          </w:r>
          <w:r>
            <w:rPr>
              <w:color w:val="auto"/>
            </w:rPr>
            <w:fldChar w:fldCharType="end"/>
          </w:r>
          <w:r>
            <w:rPr>
              <w:rFonts w:ascii="Arial" w:hAnsi="Arial" w:eastAsia="等线" w:cs="Arial"/>
              <w:bCs/>
              <w:color w:val="auto"/>
              <w:szCs w:val="32"/>
            </w:rPr>
            <w:fldChar w:fldCharType="end"/>
          </w:r>
        </w:p>
        <w:p w14:paraId="503B1175">
          <w:pPr>
            <w:pStyle w:val="11"/>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_Toc13760 </w:instrText>
          </w:r>
          <w:r>
            <w:rPr>
              <w:rFonts w:ascii="Arial" w:hAnsi="Arial" w:eastAsia="等线" w:cs="Arial"/>
              <w:bCs/>
              <w:color w:val="auto"/>
              <w:szCs w:val="32"/>
            </w:rPr>
            <w:fldChar w:fldCharType="separate"/>
          </w:r>
          <w:r>
            <w:rPr>
              <w:color w:val="auto"/>
            </w:rPr>
            <w:t>四、商业秘密事项管理体系</w:t>
          </w:r>
          <w:r>
            <w:rPr>
              <w:color w:val="auto"/>
            </w:rPr>
            <w:tab/>
          </w:r>
          <w:r>
            <w:rPr>
              <w:color w:val="auto"/>
            </w:rPr>
            <w:fldChar w:fldCharType="begin"/>
          </w:r>
          <w:r>
            <w:rPr>
              <w:color w:val="auto"/>
            </w:rPr>
            <w:instrText xml:space="preserve"> PAGEREF _Toc13760 \h </w:instrText>
          </w:r>
          <w:r>
            <w:rPr>
              <w:color w:val="auto"/>
            </w:rPr>
            <w:fldChar w:fldCharType="separate"/>
          </w:r>
          <w:r>
            <w:rPr>
              <w:color w:val="auto"/>
            </w:rPr>
            <w:t>9</w:t>
          </w:r>
          <w:r>
            <w:rPr>
              <w:color w:val="auto"/>
            </w:rPr>
            <w:fldChar w:fldCharType="end"/>
          </w:r>
          <w:r>
            <w:rPr>
              <w:rFonts w:ascii="Arial" w:hAnsi="Arial" w:eastAsia="等线" w:cs="Arial"/>
              <w:bCs/>
              <w:color w:val="auto"/>
              <w:szCs w:val="32"/>
            </w:rPr>
            <w:fldChar w:fldCharType="end"/>
          </w:r>
        </w:p>
        <w:p w14:paraId="4255EE4A">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_Toc11374 </w:instrText>
          </w:r>
          <w:r>
            <w:rPr>
              <w:rFonts w:ascii="Arial" w:hAnsi="Arial" w:eastAsia="等线" w:cs="Arial"/>
              <w:bCs/>
              <w:color w:val="auto"/>
              <w:szCs w:val="32"/>
            </w:rPr>
            <w:fldChar w:fldCharType="separate"/>
          </w:r>
          <w:r>
            <w:rPr>
              <w:color w:val="auto"/>
            </w:rPr>
            <w:t>4.1 商业秘密识别与定密</w:t>
          </w:r>
          <w:r>
            <w:rPr>
              <w:color w:val="auto"/>
            </w:rPr>
            <w:tab/>
          </w:r>
          <w:r>
            <w:rPr>
              <w:color w:val="auto"/>
            </w:rPr>
            <w:fldChar w:fldCharType="begin"/>
          </w:r>
          <w:r>
            <w:rPr>
              <w:color w:val="auto"/>
            </w:rPr>
            <w:instrText xml:space="preserve"> PAGEREF _Toc11374 \h </w:instrText>
          </w:r>
          <w:r>
            <w:rPr>
              <w:color w:val="auto"/>
            </w:rPr>
            <w:fldChar w:fldCharType="separate"/>
          </w:r>
          <w:r>
            <w:rPr>
              <w:color w:val="auto"/>
            </w:rPr>
            <w:t>9</w:t>
          </w:r>
          <w:r>
            <w:rPr>
              <w:color w:val="auto"/>
            </w:rPr>
            <w:fldChar w:fldCharType="end"/>
          </w:r>
          <w:r>
            <w:rPr>
              <w:rFonts w:ascii="Arial" w:hAnsi="Arial" w:eastAsia="等线" w:cs="Arial"/>
              <w:bCs/>
              <w:color w:val="auto"/>
              <w:szCs w:val="32"/>
            </w:rPr>
            <w:fldChar w:fldCharType="end"/>
          </w:r>
        </w:p>
        <w:p w14:paraId="6E4BCFFA">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_Toc30723 </w:instrText>
          </w:r>
          <w:r>
            <w:rPr>
              <w:rFonts w:ascii="Arial" w:hAnsi="Arial" w:eastAsia="等线" w:cs="Arial"/>
              <w:bCs/>
              <w:color w:val="auto"/>
              <w:szCs w:val="32"/>
            </w:rPr>
            <w:fldChar w:fldCharType="separate"/>
          </w:r>
          <w:r>
            <w:rPr>
              <w:color w:val="auto"/>
            </w:rPr>
            <w:t>4.1.1 识别流程</w:t>
          </w:r>
          <w:r>
            <w:rPr>
              <w:color w:val="auto"/>
            </w:rPr>
            <w:tab/>
          </w:r>
          <w:r>
            <w:rPr>
              <w:color w:val="auto"/>
            </w:rPr>
            <w:fldChar w:fldCharType="begin"/>
          </w:r>
          <w:r>
            <w:rPr>
              <w:color w:val="auto"/>
            </w:rPr>
            <w:instrText xml:space="preserve"> PAGEREF _Toc30723 \h </w:instrText>
          </w:r>
          <w:r>
            <w:rPr>
              <w:color w:val="auto"/>
            </w:rPr>
            <w:fldChar w:fldCharType="separate"/>
          </w:r>
          <w:r>
            <w:rPr>
              <w:color w:val="auto"/>
            </w:rPr>
            <w:t>9</w:t>
          </w:r>
          <w:r>
            <w:rPr>
              <w:color w:val="auto"/>
            </w:rPr>
            <w:fldChar w:fldCharType="end"/>
          </w:r>
          <w:r>
            <w:rPr>
              <w:rFonts w:ascii="Arial" w:hAnsi="Arial" w:eastAsia="等线" w:cs="Arial"/>
              <w:bCs/>
              <w:color w:val="auto"/>
              <w:szCs w:val="32"/>
            </w:rPr>
            <w:fldChar w:fldCharType="end"/>
          </w:r>
        </w:p>
        <w:p w14:paraId="053F5A98">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_Toc4954 </w:instrText>
          </w:r>
          <w:r>
            <w:rPr>
              <w:rFonts w:ascii="Arial" w:hAnsi="Arial" w:eastAsia="等线" w:cs="Arial"/>
              <w:bCs/>
              <w:color w:val="auto"/>
              <w:szCs w:val="32"/>
            </w:rPr>
            <w:fldChar w:fldCharType="separate"/>
          </w:r>
          <w:r>
            <w:rPr>
              <w:color w:val="auto"/>
            </w:rPr>
            <w:t>4.1.2 定密要素</w:t>
          </w:r>
          <w:r>
            <w:rPr>
              <w:color w:val="auto"/>
            </w:rPr>
            <w:tab/>
          </w:r>
          <w:r>
            <w:rPr>
              <w:color w:val="auto"/>
            </w:rPr>
            <w:fldChar w:fldCharType="begin"/>
          </w:r>
          <w:r>
            <w:rPr>
              <w:color w:val="auto"/>
            </w:rPr>
            <w:instrText xml:space="preserve"> PAGEREF _Toc4954 \h </w:instrText>
          </w:r>
          <w:r>
            <w:rPr>
              <w:color w:val="auto"/>
            </w:rPr>
            <w:fldChar w:fldCharType="separate"/>
          </w:r>
          <w:r>
            <w:rPr>
              <w:color w:val="auto"/>
            </w:rPr>
            <w:t>9</w:t>
          </w:r>
          <w:r>
            <w:rPr>
              <w:color w:val="auto"/>
            </w:rPr>
            <w:fldChar w:fldCharType="end"/>
          </w:r>
          <w:r>
            <w:rPr>
              <w:rFonts w:ascii="Arial" w:hAnsi="Arial" w:eastAsia="等线" w:cs="Arial"/>
              <w:bCs/>
              <w:color w:val="auto"/>
              <w:szCs w:val="32"/>
            </w:rPr>
            <w:fldChar w:fldCharType="end"/>
          </w:r>
        </w:p>
        <w:p w14:paraId="63471415">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_Toc24647 </w:instrText>
          </w:r>
          <w:r>
            <w:rPr>
              <w:rFonts w:ascii="Arial" w:hAnsi="Arial" w:eastAsia="等线" w:cs="Arial"/>
              <w:bCs/>
              <w:color w:val="auto"/>
              <w:szCs w:val="32"/>
            </w:rPr>
            <w:fldChar w:fldCharType="separate"/>
          </w:r>
          <w:r>
            <w:rPr>
              <w:color w:val="auto"/>
            </w:rPr>
            <w:t>4.2 商业秘密分级管理</w:t>
          </w:r>
          <w:r>
            <w:rPr>
              <w:color w:val="auto"/>
            </w:rPr>
            <w:tab/>
          </w:r>
          <w:r>
            <w:rPr>
              <w:color w:val="auto"/>
            </w:rPr>
            <w:fldChar w:fldCharType="begin"/>
          </w:r>
          <w:r>
            <w:rPr>
              <w:color w:val="auto"/>
            </w:rPr>
            <w:instrText xml:space="preserve"> PAGEREF _Toc24647 \h </w:instrText>
          </w:r>
          <w:r>
            <w:rPr>
              <w:color w:val="auto"/>
            </w:rPr>
            <w:fldChar w:fldCharType="separate"/>
          </w:r>
          <w:r>
            <w:rPr>
              <w:color w:val="auto"/>
            </w:rPr>
            <w:t>9</w:t>
          </w:r>
          <w:r>
            <w:rPr>
              <w:color w:val="auto"/>
            </w:rPr>
            <w:fldChar w:fldCharType="end"/>
          </w:r>
          <w:r>
            <w:rPr>
              <w:rFonts w:ascii="Arial" w:hAnsi="Arial" w:eastAsia="等线" w:cs="Arial"/>
              <w:bCs/>
              <w:color w:val="auto"/>
              <w:szCs w:val="32"/>
            </w:rPr>
            <w:fldChar w:fldCharType="end"/>
          </w:r>
        </w:p>
        <w:p w14:paraId="7323A95E">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_Toc4376 </w:instrText>
          </w:r>
          <w:r>
            <w:rPr>
              <w:rFonts w:ascii="Arial" w:hAnsi="Arial" w:eastAsia="等线" w:cs="Arial"/>
              <w:bCs/>
              <w:color w:val="auto"/>
              <w:szCs w:val="32"/>
            </w:rPr>
            <w:fldChar w:fldCharType="separate"/>
          </w:r>
          <w:r>
            <w:rPr>
              <w:color w:val="auto"/>
            </w:rPr>
            <w:t>4.2.1 核心秘密管理</w:t>
          </w:r>
          <w:r>
            <w:rPr>
              <w:color w:val="auto"/>
            </w:rPr>
            <w:tab/>
          </w:r>
          <w:r>
            <w:rPr>
              <w:color w:val="auto"/>
            </w:rPr>
            <w:fldChar w:fldCharType="begin"/>
          </w:r>
          <w:r>
            <w:rPr>
              <w:color w:val="auto"/>
            </w:rPr>
            <w:instrText xml:space="preserve"> PAGEREF _Toc4376 \h </w:instrText>
          </w:r>
          <w:r>
            <w:rPr>
              <w:color w:val="auto"/>
            </w:rPr>
            <w:fldChar w:fldCharType="separate"/>
          </w:r>
          <w:r>
            <w:rPr>
              <w:color w:val="auto"/>
            </w:rPr>
            <w:t>9</w:t>
          </w:r>
          <w:r>
            <w:rPr>
              <w:color w:val="auto"/>
            </w:rPr>
            <w:fldChar w:fldCharType="end"/>
          </w:r>
          <w:r>
            <w:rPr>
              <w:rFonts w:ascii="Arial" w:hAnsi="Arial" w:eastAsia="等线" w:cs="Arial"/>
              <w:bCs/>
              <w:color w:val="auto"/>
              <w:szCs w:val="32"/>
            </w:rPr>
            <w:fldChar w:fldCharType="end"/>
          </w:r>
        </w:p>
        <w:p w14:paraId="4D3BA781">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_Toc6794 </w:instrText>
          </w:r>
          <w:r>
            <w:rPr>
              <w:rFonts w:ascii="Arial" w:hAnsi="Arial" w:eastAsia="等线" w:cs="Arial"/>
              <w:bCs/>
              <w:color w:val="auto"/>
              <w:szCs w:val="32"/>
            </w:rPr>
            <w:fldChar w:fldCharType="separate"/>
          </w:r>
          <w:r>
            <w:rPr>
              <w:color w:val="auto"/>
            </w:rPr>
            <w:t>4.2.2 重要秘密管理</w:t>
          </w:r>
          <w:r>
            <w:rPr>
              <w:color w:val="auto"/>
            </w:rPr>
            <w:tab/>
          </w:r>
          <w:r>
            <w:rPr>
              <w:color w:val="auto"/>
            </w:rPr>
            <w:fldChar w:fldCharType="begin"/>
          </w:r>
          <w:r>
            <w:rPr>
              <w:color w:val="auto"/>
            </w:rPr>
            <w:instrText xml:space="preserve"> PAGEREF _Toc6794 \h </w:instrText>
          </w:r>
          <w:r>
            <w:rPr>
              <w:color w:val="auto"/>
            </w:rPr>
            <w:fldChar w:fldCharType="separate"/>
          </w:r>
          <w:r>
            <w:rPr>
              <w:color w:val="auto"/>
            </w:rPr>
            <w:t>10</w:t>
          </w:r>
          <w:r>
            <w:rPr>
              <w:color w:val="auto"/>
            </w:rPr>
            <w:fldChar w:fldCharType="end"/>
          </w:r>
          <w:r>
            <w:rPr>
              <w:rFonts w:ascii="Arial" w:hAnsi="Arial" w:eastAsia="等线" w:cs="Arial"/>
              <w:bCs/>
              <w:color w:val="auto"/>
              <w:szCs w:val="32"/>
            </w:rPr>
            <w:fldChar w:fldCharType="end"/>
          </w:r>
        </w:p>
        <w:p w14:paraId="18069902">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_Toc17011 </w:instrText>
          </w:r>
          <w:r>
            <w:rPr>
              <w:rFonts w:ascii="Arial" w:hAnsi="Arial" w:eastAsia="等线" w:cs="Arial"/>
              <w:bCs/>
              <w:color w:val="auto"/>
              <w:szCs w:val="32"/>
            </w:rPr>
            <w:fldChar w:fldCharType="separate"/>
          </w:r>
          <w:r>
            <w:rPr>
              <w:color w:val="auto"/>
            </w:rPr>
            <w:t>4.2.3 一般秘密管理</w:t>
          </w:r>
          <w:r>
            <w:rPr>
              <w:color w:val="auto"/>
            </w:rPr>
            <w:tab/>
          </w:r>
          <w:r>
            <w:rPr>
              <w:color w:val="auto"/>
            </w:rPr>
            <w:fldChar w:fldCharType="begin"/>
          </w:r>
          <w:r>
            <w:rPr>
              <w:color w:val="auto"/>
            </w:rPr>
            <w:instrText xml:space="preserve"> PAGEREF _Toc17011 \h </w:instrText>
          </w:r>
          <w:r>
            <w:rPr>
              <w:color w:val="auto"/>
            </w:rPr>
            <w:fldChar w:fldCharType="separate"/>
          </w:r>
          <w:r>
            <w:rPr>
              <w:color w:val="auto"/>
            </w:rPr>
            <w:t>10</w:t>
          </w:r>
          <w:r>
            <w:rPr>
              <w:color w:val="auto"/>
            </w:rPr>
            <w:fldChar w:fldCharType="end"/>
          </w:r>
          <w:r>
            <w:rPr>
              <w:rFonts w:ascii="Arial" w:hAnsi="Arial" w:eastAsia="等线" w:cs="Arial"/>
              <w:bCs/>
              <w:color w:val="auto"/>
              <w:szCs w:val="32"/>
            </w:rPr>
            <w:fldChar w:fldCharType="end"/>
          </w:r>
        </w:p>
        <w:p w14:paraId="022F0F00">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_Toc30249 </w:instrText>
          </w:r>
          <w:r>
            <w:rPr>
              <w:rFonts w:ascii="Arial" w:hAnsi="Arial" w:eastAsia="等线" w:cs="Arial"/>
              <w:bCs/>
              <w:color w:val="auto"/>
              <w:szCs w:val="32"/>
            </w:rPr>
            <w:fldChar w:fldCharType="separate"/>
          </w:r>
          <w:r>
            <w:rPr>
              <w:color w:val="auto"/>
            </w:rPr>
            <w:t>4.3 商业秘密动态调整</w:t>
          </w:r>
          <w:r>
            <w:rPr>
              <w:color w:val="auto"/>
            </w:rPr>
            <w:tab/>
          </w:r>
          <w:r>
            <w:rPr>
              <w:color w:val="auto"/>
            </w:rPr>
            <w:fldChar w:fldCharType="begin"/>
          </w:r>
          <w:r>
            <w:rPr>
              <w:color w:val="auto"/>
            </w:rPr>
            <w:instrText xml:space="preserve"> PAGEREF _Toc30249 \h </w:instrText>
          </w:r>
          <w:r>
            <w:rPr>
              <w:color w:val="auto"/>
            </w:rPr>
            <w:fldChar w:fldCharType="separate"/>
          </w:r>
          <w:r>
            <w:rPr>
              <w:color w:val="auto"/>
            </w:rPr>
            <w:t>10</w:t>
          </w:r>
          <w:r>
            <w:rPr>
              <w:color w:val="auto"/>
            </w:rPr>
            <w:fldChar w:fldCharType="end"/>
          </w:r>
          <w:r>
            <w:rPr>
              <w:rFonts w:ascii="Arial" w:hAnsi="Arial" w:eastAsia="等线" w:cs="Arial"/>
              <w:bCs/>
              <w:color w:val="auto"/>
              <w:szCs w:val="32"/>
            </w:rPr>
            <w:fldChar w:fldCharType="end"/>
          </w:r>
        </w:p>
        <w:p w14:paraId="51F243DA">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_Toc12330 </w:instrText>
          </w:r>
          <w:r>
            <w:rPr>
              <w:rFonts w:ascii="Arial" w:hAnsi="Arial" w:eastAsia="等线" w:cs="Arial"/>
              <w:bCs/>
              <w:color w:val="auto"/>
              <w:szCs w:val="32"/>
            </w:rPr>
            <w:fldChar w:fldCharType="separate"/>
          </w:r>
          <w:r>
            <w:rPr>
              <w:color w:val="auto"/>
            </w:rPr>
            <w:t>4.3.1 密级变更</w:t>
          </w:r>
          <w:r>
            <w:rPr>
              <w:color w:val="auto"/>
            </w:rPr>
            <w:tab/>
          </w:r>
          <w:r>
            <w:rPr>
              <w:color w:val="auto"/>
            </w:rPr>
            <w:fldChar w:fldCharType="begin"/>
          </w:r>
          <w:r>
            <w:rPr>
              <w:color w:val="auto"/>
            </w:rPr>
            <w:instrText xml:space="preserve"> PAGEREF _Toc12330 \h </w:instrText>
          </w:r>
          <w:r>
            <w:rPr>
              <w:color w:val="auto"/>
            </w:rPr>
            <w:fldChar w:fldCharType="separate"/>
          </w:r>
          <w:r>
            <w:rPr>
              <w:color w:val="auto"/>
            </w:rPr>
            <w:t>10</w:t>
          </w:r>
          <w:r>
            <w:rPr>
              <w:color w:val="auto"/>
            </w:rPr>
            <w:fldChar w:fldCharType="end"/>
          </w:r>
          <w:r>
            <w:rPr>
              <w:rFonts w:ascii="Arial" w:hAnsi="Arial" w:eastAsia="等线" w:cs="Arial"/>
              <w:bCs/>
              <w:color w:val="auto"/>
              <w:szCs w:val="32"/>
            </w:rPr>
            <w:fldChar w:fldCharType="end"/>
          </w:r>
        </w:p>
        <w:p w14:paraId="004AB991">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_Toc15469 </w:instrText>
          </w:r>
          <w:r>
            <w:rPr>
              <w:rFonts w:ascii="Arial" w:hAnsi="Arial" w:eastAsia="等线" w:cs="Arial"/>
              <w:bCs/>
              <w:color w:val="auto"/>
              <w:szCs w:val="32"/>
            </w:rPr>
            <w:fldChar w:fldCharType="separate"/>
          </w:r>
          <w:r>
            <w:rPr>
              <w:color w:val="auto"/>
            </w:rPr>
            <w:t>4.3.2 解密管理</w:t>
          </w:r>
          <w:r>
            <w:rPr>
              <w:color w:val="auto"/>
            </w:rPr>
            <w:tab/>
          </w:r>
          <w:r>
            <w:rPr>
              <w:color w:val="auto"/>
            </w:rPr>
            <w:fldChar w:fldCharType="begin"/>
          </w:r>
          <w:r>
            <w:rPr>
              <w:color w:val="auto"/>
            </w:rPr>
            <w:instrText xml:space="preserve"> PAGEREF _Toc15469 \h </w:instrText>
          </w:r>
          <w:r>
            <w:rPr>
              <w:color w:val="auto"/>
            </w:rPr>
            <w:fldChar w:fldCharType="separate"/>
          </w:r>
          <w:r>
            <w:rPr>
              <w:color w:val="auto"/>
            </w:rPr>
            <w:t>10</w:t>
          </w:r>
          <w:r>
            <w:rPr>
              <w:color w:val="auto"/>
            </w:rPr>
            <w:fldChar w:fldCharType="end"/>
          </w:r>
          <w:r>
            <w:rPr>
              <w:rFonts w:ascii="Arial" w:hAnsi="Arial" w:eastAsia="等线" w:cs="Arial"/>
              <w:bCs/>
              <w:color w:val="auto"/>
              <w:szCs w:val="32"/>
            </w:rPr>
            <w:fldChar w:fldCharType="end"/>
          </w:r>
        </w:p>
        <w:p w14:paraId="582E1BC2">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_Toc31676 </w:instrText>
          </w:r>
          <w:r>
            <w:rPr>
              <w:rFonts w:ascii="Arial" w:hAnsi="Arial" w:eastAsia="等线" w:cs="Arial"/>
              <w:bCs/>
              <w:color w:val="auto"/>
              <w:szCs w:val="32"/>
            </w:rPr>
            <w:fldChar w:fldCharType="separate"/>
          </w:r>
          <w:r>
            <w:rPr>
              <w:color w:val="auto"/>
            </w:rPr>
            <w:t>4.4 商业秘密存证与公证</w:t>
          </w:r>
          <w:r>
            <w:rPr>
              <w:color w:val="auto"/>
            </w:rPr>
            <w:tab/>
          </w:r>
          <w:r>
            <w:rPr>
              <w:color w:val="auto"/>
            </w:rPr>
            <w:fldChar w:fldCharType="begin"/>
          </w:r>
          <w:r>
            <w:rPr>
              <w:color w:val="auto"/>
            </w:rPr>
            <w:instrText xml:space="preserve"> PAGEREF _Toc31676 \h </w:instrText>
          </w:r>
          <w:r>
            <w:rPr>
              <w:color w:val="auto"/>
            </w:rPr>
            <w:fldChar w:fldCharType="separate"/>
          </w:r>
          <w:r>
            <w:rPr>
              <w:color w:val="auto"/>
            </w:rPr>
            <w:t>11</w:t>
          </w:r>
          <w:r>
            <w:rPr>
              <w:color w:val="auto"/>
            </w:rPr>
            <w:fldChar w:fldCharType="end"/>
          </w:r>
          <w:r>
            <w:rPr>
              <w:rFonts w:ascii="Arial" w:hAnsi="Arial" w:eastAsia="等线" w:cs="Arial"/>
              <w:bCs/>
              <w:color w:val="auto"/>
              <w:szCs w:val="32"/>
            </w:rPr>
            <w:fldChar w:fldCharType="end"/>
          </w:r>
        </w:p>
        <w:p w14:paraId="503DD1D3">
          <w:pPr>
            <w:pStyle w:val="11"/>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_Toc6328 </w:instrText>
          </w:r>
          <w:r>
            <w:rPr>
              <w:rFonts w:ascii="Arial" w:hAnsi="Arial" w:eastAsia="等线" w:cs="Arial"/>
              <w:bCs/>
              <w:color w:val="auto"/>
              <w:szCs w:val="32"/>
            </w:rPr>
            <w:fldChar w:fldCharType="separate"/>
          </w:r>
          <w:r>
            <w:rPr>
              <w:color w:val="auto"/>
            </w:rPr>
            <w:t>五、商业秘密保护管理制度</w:t>
          </w:r>
          <w:r>
            <w:rPr>
              <w:color w:val="auto"/>
            </w:rPr>
            <w:tab/>
          </w:r>
          <w:r>
            <w:rPr>
              <w:color w:val="auto"/>
            </w:rPr>
            <w:fldChar w:fldCharType="begin"/>
          </w:r>
          <w:r>
            <w:rPr>
              <w:color w:val="auto"/>
            </w:rPr>
            <w:instrText xml:space="preserve"> PAGEREF _Toc6328 \h </w:instrText>
          </w:r>
          <w:r>
            <w:rPr>
              <w:color w:val="auto"/>
            </w:rPr>
            <w:fldChar w:fldCharType="separate"/>
          </w:r>
          <w:r>
            <w:rPr>
              <w:color w:val="auto"/>
            </w:rPr>
            <w:t>11</w:t>
          </w:r>
          <w:r>
            <w:rPr>
              <w:color w:val="auto"/>
            </w:rPr>
            <w:fldChar w:fldCharType="end"/>
          </w:r>
          <w:r>
            <w:rPr>
              <w:rFonts w:ascii="Arial" w:hAnsi="Arial" w:eastAsia="等线" w:cs="Arial"/>
              <w:bCs/>
              <w:color w:val="auto"/>
              <w:szCs w:val="32"/>
            </w:rPr>
            <w:fldChar w:fldCharType="end"/>
          </w:r>
        </w:p>
        <w:p w14:paraId="3C6E5FB2">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_Toc23420 </w:instrText>
          </w:r>
          <w:r>
            <w:rPr>
              <w:rFonts w:ascii="Arial" w:hAnsi="Arial" w:eastAsia="等线" w:cs="Arial"/>
              <w:bCs/>
              <w:color w:val="auto"/>
              <w:szCs w:val="32"/>
            </w:rPr>
            <w:fldChar w:fldCharType="separate"/>
          </w:r>
          <w:r>
            <w:rPr>
              <w:color w:val="auto"/>
            </w:rPr>
            <w:t>5.1 涉密人员管理制度</w:t>
          </w:r>
          <w:r>
            <w:rPr>
              <w:color w:val="auto"/>
            </w:rPr>
            <w:tab/>
          </w:r>
          <w:r>
            <w:rPr>
              <w:color w:val="auto"/>
            </w:rPr>
            <w:fldChar w:fldCharType="begin"/>
          </w:r>
          <w:r>
            <w:rPr>
              <w:color w:val="auto"/>
            </w:rPr>
            <w:instrText xml:space="preserve"> PAGEREF _Toc23420 \h </w:instrText>
          </w:r>
          <w:r>
            <w:rPr>
              <w:color w:val="auto"/>
            </w:rPr>
            <w:fldChar w:fldCharType="separate"/>
          </w:r>
          <w:r>
            <w:rPr>
              <w:color w:val="auto"/>
            </w:rPr>
            <w:t>11</w:t>
          </w:r>
          <w:r>
            <w:rPr>
              <w:color w:val="auto"/>
            </w:rPr>
            <w:fldChar w:fldCharType="end"/>
          </w:r>
          <w:r>
            <w:rPr>
              <w:rFonts w:ascii="Arial" w:hAnsi="Arial" w:eastAsia="等线" w:cs="Arial"/>
              <w:bCs/>
              <w:color w:val="auto"/>
              <w:szCs w:val="32"/>
            </w:rPr>
            <w:fldChar w:fldCharType="end"/>
          </w:r>
        </w:p>
        <w:p w14:paraId="7F10D9AF">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_Toc1720 </w:instrText>
          </w:r>
          <w:r>
            <w:rPr>
              <w:rFonts w:ascii="Arial" w:hAnsi="Arial" w:eastAsia="等线" w:cs="Arial"/>
              <w:bCs/>
              <w:color w:val="auto"/>
              <w:szCs w:val="32"/>
            </w:rPr>
            <w:fldChar w:fldCharType="separate"/>
          </w:r>
          <w:r>
            <w:rPr>
              <w:color w:val="auto"/>
            </w:rPr>
            <w:t>5.1.1 入职管理</w:t>
          </w:r>
          <w:r>
            <w:rPr>
              <w:color w:val="auto"/>
            </w:rPr>
            <w:tab/>
          </w:r>
          <w:r>
            <w:rPr>
              <w:color w:val="auto"/>
            </w:rPr>
            <w:fldChar w:fldCharType="begin"/>
          </w:r>
          <w:r>
            <w:rPr>
              <w:color w:val="auto"/>
            </w:rPr>
            <w:instrText xml:space="preserve"> PAGEREF _Toc1720 \h </w:instrText>
          </w:r>
          <w:r>
            <w:rPr>
              <w:color w:val="auto"/>
            </w:rPr>
            <w:fldChar w:fldCharType="separate"/>
          </w:r>
          <w:r>
            <w:rPr>
              <w:color w:val="auto"/>
            </w:rPr>
            <w:t>11</w:t>
          </w:r>
          <w:r>
            <w:rPr>
              <w:color w:val="auto"/>
            </w:rPr>
            <w:fldChar w:fldCharType="end"/>
          </w:r>
          <w:r>
            <w:rPr>
              <w:rFonts w:ascii="Arial" w:hAnsi="Arial" w:eastAsia="等线" w:cs="Arial"/>
              <w:bCs/>
              <w:color w:val="auto"/>
              <w:szCs w:val="32"/>
            </w:rPr>
            <w:fldChar w:fldCharType="end"/>
          </w:r>
        </w:p>
        <w:p w14:paraId="5E1B764B">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_Toc10334 </w:instrText>
          </w:r>
          <w:r>
            <w:rPr>
              <w:rFonts w:ascii="Arial" w:hAnsi="Arial" w:eastAsia="等线" w:cs="Arial"/>
              <w:bCs/>
              <w:color w:val="auto"/>
              <w:szCs w:val="32"/>
            </w:rPr>
            <w:fldChar w:fldCharType="separate"/>
          </w:r>
          <w:r>
            <w:rPr>
              <w:color w:val="auto"/>
            </w:rPr>
            <w:t>5.1.2 在职管理</w:t>
          </w:r>
          <w:r>
            <w:rPr>
              <w:color w:val="auto"/>
            </w:rPr>
            <w:tab/>
          </w:r>
          <w:r>
            <w:rPr>
              <w:color w:val="auto"/>
            </w:rPr>
            <w:fldChar w:fldCharType="begin"/>
          </w:r>
          <w:r>
            <w:rPr>
              <w:color w:val="auto"/>
            </w:rPr>
            <w:instrText xml:space="preserve"> PAGEREF _Toc10334 \h </w:instrText>
          </w:r>
          <w:r>
            <w:rPr>
              <w:color w:val="auto"/>
            </w:rPr>
            <w:fldChar w:fldCharType="separate"/>
          </w:r>
          <w:r>
            <w:rPr>
              <w:color w:val="auto"/>
            </w:rPr>
            <w:t>11</w:t>
          </w:r>
          <w:r>
            <w:rPr>
              <w:color w:val="auto"/>
            </w:rPr>
            <w:fldChar w:fldCharType="end"/>
          </w:r>
          <w:r>
            <w:rPr>
              <w:rFonts w:ascii="Arial" w:hAnsi="Arial" w:eastAsia="等线" w:cs="Arial"/>
              <w:bCs/>
              <w:color w:val="auto"/>
              <w:szCs w:val="32"/>
            </w:rPr>
            <w:fldChar w:fldCharType="end"/>
          </w:r>
        </w:p>
        <w:p w14:paraId="66EA353F">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_Toc8073 </w:instrText>
          </w:r>
          <w:r>
            <w:rPr>
              <w:rFonts w:ascii="Arial" w:hAnsi="Arial" w:eastAsia="等线" w:cs="Arial"/>
              <w:bCs/>
              <w:color w:val="auto"/>
              <w:szCs w:val="32"/>
            </w:rPr>
            <w:fldChar w:fldCharType="separate"/>
          </w:r>
          <w:r>
            <w:rPr>
              <w:color w:val="auto"/>
            </w:rPr>
            <w:t>5.1.3 离职管理</w:t>
          </w:r>
          <w:r>
            <w:rPr>
              <w:color w:val="auto"/>
            </w:rPr>
            <w:tab/>
          </w:r>
          <w:r>
            <w:rPr>
              <w:color w:val="auto"/>
            </w:rPr>
            <w:fldChar w:fldCharType="begin"/>
          </w:r>
          <w:r>
            <w:rPr>
              <w:color w:val="auto"/>
            </w:rPr>
            <w:instrText xml:space="preserve"> PAGEREF _Toc8073 \h </w:instrText>
          </w:r>
          <w:r>
            <w:rPr>
              <w:color w:val="auto"/>
            </w:rPr>
            <w:fldChar w:fldCharType="separate"/>
          </w:r>
          <w:r>
            <w:rPr>
              <w:color w:val="auto"/>
            </w:rPr>
            <w:t>12</w:t>
          </w:r>
          <w:r>
            <w:rPr>
              <w:color w:val="auto"/>
            </w:rPr>
            <w:fldChar w:fldCharType="end"/>
          </w:r>
          <w:r>
            <w:rPr>
              <w:rFonts w:ascii="Arial" w:hAnsi="Arial" w:eastAsia="等线" w:cs="Arial"/>
              <w:bCs/>
              <w:color w:val="auto"/>
              <w:szCs w:val="32"/>
            </w:rPr>
            <w:fldChar w:fldCharType="end"/>
          </w:r>
        </w:p>
        <w:p w14:paraId="562AFCF6">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_Toc4898 </w:instrText>
          </w:r>
          <w:r>
            <w:rPr>
              <w:rFonts w:ascii="Arial" w:hAnsi="Arial" w:eastAsia="等线" w:cs="Arial"/>
              <w:bCs/>
              <w:color w:val="auto"/>
              <w:szCs w:val="32"/>
            </w:rPr>
            <w:fldChar w:fldCharType="separate"/>
          </w:r>
          <w:r>
            <w:rPr>
              <w:color w:val="auto"/>
            </w:rPr>
            <w:t>5.2 涉密载体管理制度</w:t>
          </w:r>
          <w:r>
            <w:rPr>
              <w:color w:val="auto"/>
            </w:rPr>
            <w:tab/>
          </w:r>
          <w:r>
            <w:rPr>
              <w:color w:val="auto"/>
            </w:rPr>
            <w:fldChar w:fldCharType="begin"/>
          </w:r>
          <w:r>
            <w:rPr>
              <w:color w:val="auto"/>
            </w:rPr>
            <w:instrText xml:space="preserve"> PAGEREF _Toc4898 \h </w:instrText>
          </w:r>
          <w:r>
            <w:rPr>
              <w:color w:val="auto"/>
            </w:rPr>
            <w:fldChar w:fldCharType="separate"/>
          </w:r>
          <w:r>
            <w:rPr>
              <w:color w:val="auto"/>
            </w:rPr>
            <w:t>12</w:t>
          </w:r>
          <w:r>
            <w:rPr>
              <w:color w:val="auto"/>
            </w:rPr>
            <w:fldChar w:fldCharType="end"/>
          </w:r>
          <w:r>
            <w:rPr>
              <w:rFonts w:ascii="Arial" w:hAnsi="Arial" w:eastAsia="等线" w:cs="Arial"/>
              <w:bCs/>
              <w:color w:val="auto"/>
              <w:szCs w:val="32"/>
            </w:rPr>
            <w:fldChar w:fldCharType="end"/>
          </w:r>
        </w:p>
        <w:p w14:paraId="5804813B">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_Toc9402 </w:instrText>
          </w:r>
          <w:r>
            <w:rPr>
              <w:rFonts w:ascii="Arial" w:hAnsi="Arial" w:eastAsia="等线" w:cs="Arial"/>
              <w:bCs/>
              <w:color w:val="auto"/>
              <w:szCs w:val="32"/>
            </w:rPr>
            <w:fldChar w:fldCharType="separate"/>
          </w:r>
          <w:r>
            <w:rPr>
              <w:color w:val="auto"/>
            </w:rPr>
            <w:t>5.2.1 载体制作</w:t>
          </w:r>
          <w:r>
            <w:rPr>
              <w:color w:val="auto"/>
            </w:rPr>
            <w:tab/>
          </w:r>
          <w:r>
            <w:rPr>
              <w:color w:val="auto"/>
            </w:rPr>
            <w:fldChar w:fldCharType="begin"/>
          </w:r>
          <w:r>
            <w:rPr>
              <w:color w:val="auto"/>
            </w:rPr>
            <w:instrText xml:space="preserve"> PAGEREF _Toc9402 \h </w:instrText>
          </w:r>
          <w:r>
            <w:rPr>
              <w:color w:val="auto"/>
            </w:rPr>
            <w:fldChar w:fldCharType="separate"/>
          </w:r>
          <w:r>
            <w:rPr>
              <w:color w:val="auto"/>
            </w:rPr>
            <w:t>12</w:t>
          </w:r>
          <w:r>
            <w:rPr>
              <w:color w:val="auto"/>
            </w:rPr>
            <w:fldChar w:fldCharType="end"/>
          </w:r>
          <w:r>
            <w:rPr>
              <w:rFonts w:ascii="Arial" w:hAnsi="Arial" w:eastAsia="等线" w:cs="Arial"/>
              <w:bCs/>
              <w:color w:val="auto"/>
              <w:szCs w:val="32"/>
            </w:rPr>
            <w:fldChar w:fldCharType="end"/>
          </w:r>
        </w:p>
        <w:p w14:paraId="17239DBF">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_Toc956 </w:instrText>
          </w:r>
          <w:r>
            <w:rPr>
              <w:rFonts w:ascii="Arial" w:hAnsi="Arial" w:eastAsia="等线" w:cs="Arial"/>
              <w:bCs/>
              <w:color w:val="auto"/>
              <w:szCs w:val="32"/>
            </w:rPr>
            <w:fldChar w:fldCharType="separate"/>
          </w:r>
          <w:r>
            <w:rPr>
              <w:color w:val="auto"/>
            </w:rPr>
            <w:t>5.2.2 载体收发与传递</w:t>
          </w:r>
          <w:r>
            <w:rPr>
              <w:color w:val="auto"/>
            </w:rPr>
            <w:tab/>
          </w:r>
          <w:r>
            <w:rPr>
              <w:color w:val="auto"/>
            </w:rPr>
            <w:fldChar w:fldCharType="begin"/>
          </w:r>
          <w:r>
            <w:rPr>
              <w:color w:val="auto"/>
            </w:rPr>
            <w:instrText xml:space="preserve"> PAGEREF _Toc956 \h </w:instrText>
          </w:r>
          <w:r>
            <w:rPr>
              <w:color w:val="auto"/>
            </w:rPr>
            <w:fldChar w:fldCharType="separate"/>
          </w:r>
          <w:r>
            <w:rPr>
              <w:color w:val="auto"/>
            </w:rPr>
            <w:t>12</w:t>
          </w:r>
          <w:r>
            <w:rPr>
              <w:color w:val="auto"/>
            </w:rPr>
            <w:fldChar w:fldCharType="end"/>
          </w:r>
          <w:r>
            <w:rPr>
              <w:rFonts w:ascii="Arial" w:hAnsi="Arial" w:eastAsia="等线" w:cs="Arial"/>
              <w:bCs/>
              <w:color w:val="auto"/>
              <w:szCs w:val="32"/>
            </w:rPr>
            <w:fldChar w:fldCharType="end"/>
          </w:r>
        </w:p>
        <w:p w14:paraId="77C086D5">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_Toc24708 </w:instrText>
          </w:r>
          <w:r>
            <w:rPr>
              <w:rFonts w:ascii="Arial" w:hAnsi="Arial" w:eastAsia="等线" w:cs="Arial"/>
              <w:bCs/>
              <w:color w:val="auto"/>
              <w:szCs w:val="32"/>
            </w:rPr>
            <w:fldChar w:fldCharType="separate"/>
          </w:r>
          <w:r>
            <w:rPr>
              <w:color w:val="auto"/>
            </w:rPr>
            <w:t>5.2.3 载体存储</w:t>
          </w:r>
          <w:r>
            <w:rPr>
              <w:color w:val="auto"/>
            </w:rPr>
            <w:tab/>
          </w:r>
          <w:r>
            <w:rPr>
              <w:color w:val="auto"/>
            </w:rPr>
            <w:fldChar w:fldCharType="begin"/>
          </w:r>
          <w:r>
            <w:rPr>
              <w:color w:val="auto"/>
            </w:rPr>
            <w:instrText xml:space="preserve"> PAGEREF _Toc24708 \h </w:instrText>
          </w:r>
          <w:r>
            <w:rPr>
              <w:color w:val="auto"/>
            </w:rPr>
            <w:fldChar w:fldCharType="separate"/>
          </w:r>
          <w:r>
            <w:rPr>
              <w:color w:val="auto"/>
            </w:rPr>
            <w:t>13</w:t>
          </w:r>
          <w:r>
            <w:rPr>
              <w:color w:val="auto"/>
            </w:rPr>
            <w:fldChar w:fldCharType="end"/>
          </w:r>
          <w:r>
            <w:rPr>
              <w:rFonts w:ascii="Arial" w:hAnsi="Arial" w:eastAsia="等线" w:cs="Arial"/>
              <w:bCs/>
              <w:color w:val="auto"/>
              <w:szCs w:val="32"/>
            </w:rPr>
            <w:fldChar w:fldCharType="end"/>
          </w:r>
        </w:p>
        <w:p w14:paraId="17E07539">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_Toc32053 </w:instrText>
          </w:r>
          <w:r>
            <w:rPr>
              <w:rFonts w:ascii="Arial" w:hAnsi="Arial" w:eastAsia="等线" w:cs="Arial"/>
              <w:bCs/>
              <w:color w:val="auto"/>
              <w:szCs w:val="32"/>
            </w:rPr>
            <w:fldChar w:fldCharType="separate"/>
          </w:r>
          <w:r>
            <w:rPr>
              <w:color w:val="auto"/>
            </w:rPr>
            <w:t>5.2.4 载体维修与销毁</w:t>
          </w:r>
          <w:r>
            <w:rPr>
              <w:color w:val="auto"/>
            </w:rPr>
            <w:tab/>
          </w:r>
          <w:r>
            <w:rPr>
              <w:color w:val="auto"/>
            </w:rPr>
            <w:fldChar w:fldCharType="begin"/>
          </w:r>
          <w:r>
            <w:rPr>
              <w:color w:val="auto"/>
            </w:rPr>
            <w:instrText xml:space="preserve"> PAGEREF _Toc32053 \h </w:instrText>
          </w:r>
          <w:r>
            <w:rPr>
              <w:color w:val="auto"/>
            </w:rPr>
            <w:fldChar w:fldCharType="separate"/>
          </w:r>
          <w:r>
            <w:rPr>
              <w:color w:val="auto"/>
            </w:rPr>
            <w:t>13</w:t>
          </w:r>
          <w:r>
            <w:rPr>
              <w:color w:val="auto"/>
            </w:rPr>
            <w:fldChar w:fldCharType="end"/>
          </w:r>
          <w:r>
            <w:rPr>
              <w:rFonts w:ascii="Arial" w:hAnsi="Arial" w:eastAsia="等线" w:cs="Arial"/>
              <w:bCs/>
              <w:color w:val="auto"/>
              <w:szCs w:val="32"/>
            </w:rPr>
            <w:fldChar w:fldCharType="end"/>
          </w:r>
        </w:p>
        <w:p w14:paraId="14579D2F">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_Toc27832 </w:instrText>
          </w:r>
          <w:r>
            <w:rPr>
              <w:rFonts w:ascii="Arial" w:hAnsi="Arial" w:eastAsia="等线" w:cs="Arial"/>
              <w:bCs/>
              <w:color w:val="auto"/>
              <w:szCs w:val="32"/>
            </w:rPr>
            <w:fldChar w:fldCharType="separate"/>
          </w:r>
          <w:r>
            <w:rPr>
              <w:color w:val="auto"/>
            </w:rPr>
            <w:t>5.3 涉密区域管理制度</w:t>
          </w:r>
          <w:r>
            <w:rPr>
              <w:color w:val="auto"/>
            </w:rPr>
            <w:tab/>
          </w:r>
          <w:r>
            <w:rPr>
              <w:color w:val="auto"/>
            </w:rPr>
            <w:fldChar w:fldCharType="begin"/>
          </w:r>
          <w:r>
            <w:rPr>
              <w:color w:val="auto"/>
            </w:rPr>
            <w:instrText xml:space="preserve"> PAGEREF _Toc27832 \h </w:instrText>
          </w:r>
          <w:r>
            <w:rPr>
              <w:color w:val="auto"/>
            </w:rPr>
            <w:fldChar w:fldCharType="separate"/>
          </w:r>
          <w:r>
            <w:rPr>
              <w:color w:val="auto"/>
            </w:rPr>
            <w:t>13</w:t>
          </w:r>
          <w:r>
            <w:rPr>
              <w:color w:val="auto"/>
            </w:rPr>
            <w:fldChar w:fldCharType="end"/>
          </w:r>
          <w:r>
            <w:rPr>
              <w:rFonts w:ascii="Arial" w:hAnsi="Arial" w:eastAsia="等线" w:cs="Arial"/>
              <w:bCs/>
              <w:color w:val="auto"/>
              <w:szCs w:val="32"/>
            </w:rPr>
            <w:fldChar w:fldCharType="end"/>
          </w:r>
        </w:p>
        <w:p w14:paraId="3237718C">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_Toc29014 </w:instrText>
          </w:r>
          <w:r>
            <w:rPr>
              <w:rFonts w:ascii="Arial" w:hAnsi="Arial" w:eastAsia="等线" w:cs="Arial"/>
              <w:bCs/>
              <w:color w:val="auto"/>
              <w:szCs w:val="32"/>
            </w:rPr>
            <w:fldChar w:fldCharType="separate"/>
          </w:r>
          <w:r>
            <w:rPr>
              <w:color w:val="auto"/>
            </w:rPr>
            <w:t>5.3.1 区域划分与标识</w:t>
          </w:r>
          <w:r>
            <w:rPr>
              <w:color w:val="auto"/>
            </w:rPr>
            <w:tab/>
          </w:r>
          <w:r>
            <w:rPr>
              <w:color w:val="auto"/>
            </w:rPr>
            <w:fldChar w:fldCharType="begin"/>
          </w:r>
          <w:r>
            <w:rPr>
              <w:color w:val="auto"/>
            </w:rPr>
            <w:instrText xml:space="preserve"> PAGEREF _Toc29014 \h </w:instrText>
          </w:r>
          <w:r>
            <w:rPr>
              <w:color w:val="auto"/>
            </w:rPr>
            <w:fldChar w:fldCharType="separate"/>
          </w:r>
          <w:r>
            <w:rPr>
              <w:color w:val="auto"/>
            </w:rPr>
            <w:t>13</w:t>
          </w:r>
          <w:r>
            <w:rPr>
              <w:color w:val="auto"/>
            </w:rPr>
            <w:fldChar w:fldCharType="end"/>
          </w:r>
          <w:r>
            <w:rPr>
              <w:rFonts w:ascii="Arial" w:hAnsi="Arial" w:eastAsia="等线" w:cs="Arial"/>
              <w:bCs/>
              <w:color w:val="auto"/>
              <w:szCs w:val="32"/>
            </w:rPr>
            <w:fldChar w:fldCharType="end"/>
          </w:r>
        </w:p>
        <w:p w14:paraId="030904C5">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_Toc15927 </w:instrText>
          </w:r>
          <w:r>
            <w:rPr>
              <w:rFonts w:ascii="Arial" w:hAnsi="Arial" w:eastAsia="等线" w:cs="Arial"/>
              <w:bCs/>
              <w:color w:val="auto"/>
              <w:szCs w:val="32"/>
            </w:rPr>
            <w:fldChar w:fldCharType="separate"/>
          </w:r>
          <w:r>
            <w:rPr>
              <w:color w:val="auto"/>
            </w:rPr>
            <w:t>5.3.2 人员准入管理</w:t>
          </w:r>
          <w:r>
            <w:rPr>
              <w:color w:val="auto"/>
            </w:rPr>
            <w:tab/>
          </w:r>
          <w:r>
            <w:rPr>
              <w:color w:val="auto"/>
            </w:rPr>
            <w:fldChar w:fldCharType="begin"/>
          </w:r>
          <w:r>
            <w:rPr>
              <w:color w:val="auto"/>
            </w:rPr>
            <w:instrText xml:space="preserve"> PAGEREF _Toc15927 \h </w:instrText>
          </w:r>
          <w:r>
            <w:rPr>
              <w:color w:val="auto"/>
            </w:rPr>
            <w:fldChar w:fldCharType="separate"/>
          </w:r>
          <w:r>
            <w:rPr>
              <w:color w:val="auto"/>
            </w:rPr>
            <w:t>14</w:t>
          </w:r>
          <w:r>
            <w:rPr>
              <w:color w:val="auto"/>
            </w:rPr>
            <w:fldChar w:fldCharType="end"/>
          </w:r>
          <w:r>
            <w:rPr>
              <w:rFonts w:ascii="Arial" w:hAnsi="Arial" w:eastAsia="等线" w:cs="Arial"/>
              <w:bCs/>
              <w:color w:val="auto"/>
              <w:szCs w:val="32"/>
            </w:rPr>
            <w:fldChar w:fldCharType="end"/>
          </w:r>
        </w:p>
        <w:p w14:paraId="391E2422">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_Toc2775 </w:instrText>
          </w:r>
          <w:r>
            <w:rPr>
              <w:rFonts w:ascii="Arial" w:hAnsi="Arial" w:eastAsia="等线" w:cs="Arial"/>
              <w:bCs/>
              <w:color w:val="auto"/>
              <w:szCs w:val="32"/>
            </w:rPr>
            <w:fldChar w:fldCharType="separate"/>
          </w:r>
          <w:r>
            <w:rPr>
              <w:color w:val="auto"/>
            </w:rPr>
            <w:t>5.3.3 区域内保密措施</w:t>
          </w:r>
          <w:r>
            <w:rPr>
              <w:color w:val="auto"/>
            </w:rPr>
            <w:tab/>
          </w:r>
          <w:r>
            <w:rPr>
              <w:color w:val="auto"/>
            </w:rPr>
            <w:fldChar w:fldCharType="begin"/>
          </w:r>
          <w:r>
            <w:rPr>
              <w:color w:val="auto"/>
            </w:rPr>
            <w:instrText xml:space="preserve"> PAGEREF _Toc2775 \h </w:instrText>
          </w:r>
          <w:r>
            <w:rPr>
              <w:color w:val="auto"/>
            </w:rPr>
            <w:fldChar w:fldCharType="separate"/>
          </w:r>
          <w:r>
            <w:rPr>
              <w:color w:val="auto"/>
            </w:rPr>
            <w:t>14</w:t>
          </w:r>
          <w:r>
            <w:rPr>
              <w:color w:val="auto"/>
            </w:rPr>
            <w:fldChar w:fldCharType="end"/>
          </w:r>
          <w:r>
            <w:rPr>
              <w:rFonts w:ascii="Arial" w:hAnsi="Arial" w:eastAsia="等线" w:cs="Arial"/>
              <w:bCs/>
              <w:color w:val="auto"/>
              <w:szCs w:val="32"/>
            </w:rPr>
            <w:fldChar w:fldCharType="end"/>
          </w:r>
        </w:p>
        <w:p w14:paraId="64090F57">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_Toc227 </w:instrText>
          </w:r>
          <w:r>
            <w:rPr>
              <w:rFonts w:ascii="Arial" w:hAnsi="Arial" w:eastAsia="等线" w:cs="Arial"/>
              <w:bCs/>
              <w:color w:val="auto"/>
              <w:szCs w:val="32"/>
            </w:rPr>
            <w:fldChar w:fldCharType="separate"/>
          </w:r>
          <w:r>
            <w:rPr>
              <w:color w:val="auto"/>
            </w:rPr>
            <w:t>5.4 涉密设备管理制度</w:t>
          </w:r>
          <w:r>
            <w:rPr>
              <w:color w:val="auto"/>
            </w:rPr>
            <w:tab/>
          </w:r>
          <w:r>
            <w:rPr>
              <w:color w:val="auto"/>
            </w:rPr>
            <w:fldChar w:fldCharType="begin"/>
          </w:r>
          <w:r>
            <w:rPr>
              <w:color w:val="auto"/>
            </w:rPr>
            <w:instrText xml:space="preserve"> PAGEREF _Toc227 \h </w:instrText>
          </w:r>
          <w:r>
            <w:rPr>
              <w:color w:val="auto"/>
            </w:rPr>
            <w:fldChar w:fldCharType="separate"/>
          </w:r>
          <w:r>
            <w:rPr>
              <w:color w:val="auto"/>
            </w:rPr>
            <w:t>14</w:t>
          </w:r>
          <w:r>
            <w:rPr>
              <w:color w:val="auto"/>
            </w:rPr>
            <w:fldChar w:fldCharType="end"/>
          </w:r>
          <w:r>
            <w:rPr>
              <w:rFonts w:ascii="Arial" w:hAnsi="Arial" w:eastAsia="等线" w:cs="Arial"/>
              <w:bCs/>
              <w:color w:val="auto"/>
              <w:szCs w:val="32"/>
            </w:rPr>
            <w:fldChar w:fldCharType="end"/>
          </w:r>
        </w:p>
        <w:p w14:paraId="31C4962B">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_Toc27117 </w:instrText>
          </w:r>
          <w:r>
            <w:rPr>
              <w:rFonts w:ascii="Arial" w:hAnsi="Arial" w:eastAsia="等线" w:cs="Arial"/>
              <w:bCs/>
              <w:color w:val="auto"/>
              <w:szCs w:val="32"/>
            </w:rPr>
            <w:fldChar w:fldCharType="separate"/>
          </w:r>
          <w:r>
            <w:rPr>
              <w:color w:val="auto"/>
            </w:rPr>
            <w:t>5.4.1 设备采购与登记</w:t>
          </w:r>
          <w:r>
            <w:rPr>
              <w:color w:val="auto"/>
            </w:rPr>
            <w:tab/>
          </w:r>
          <w:r>
            <w:rPr>
              <w:color w:val="auto"/>
            </w:rPr>
            <w:fldChar w:fldCharType="begin"/>
          </w:r>
          <w:r>
            <w:rPr>
              <w:color w:val="auto"/>
            </w:rPr>
            <w:instrText xml:space="preserve"> PAGEREF _Toc27117 \h </w:instrText>
          </w:r>
          <w:r>
            <w:rPr>
              <w:color w:val="auto"/>
            </w:rPr>
            <w:fldChar w:fldCharType="separate"/>
          </w:r>
          <w:r>
            <w:rPr>
              <w:color w:val="auto"/>
            </w:rPr>
            <w:t>14</w:t>
          </w:r>
          <w:r>
            <w:rPr>
              <w:color w:val="auto"/>
            </w:rPr>
            <w:fldChar w:fldCharType="end"/>
          </w:r>
          <w:r>
            <w:rPr>
              <w:rFonts w:ascii="Arial" w:hAnsi="Arial" w:eastAsia="等线" w:cs="Arial"/>
              <w:bCs/>
              <w:color w:val="auto"/>
              <w:szCs w:val="32"/>
            </w:rPr>
            <w:fldChar w:fldCharType="end"/>
          </w:r>
        </w:p>
        <w:p w14:paraId="02C68BF6">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_Toc28783 </w:instrText>
          </w:r>
          <w:r>
            <w:rPr>
              <w:rFonts w:ascii="Arial" w:hAnsi="Arial" w:eastAsia="等线" w:cs="Arial"/>
              <w:bCs/>
              <w:color w:val="auto"/>
              <w:szCs w:val="32"/>
            </w:rPr>
            <w:fldChar w:fldCharType="separate"/>
          </w:r>
          <w:r>
            <w:rPr>
              <w:color w:val="auto"/>
            </w:rPr>
            <w:t>5.4.2 设备使用管理</w:t>
          </w:r>
          <w:r>
            <w:rPr>
              <w:color w:val="auto"/>
            </w:rPr>
            <w:tab/>
          </w:r>
          <w:r>
            <w:rPr>
              <w:color w:val="auto"/>
            </w:rPr>
            <w:fldChar w:fldCharType="begin"/>
          </w:r>
          <w:r>
            <w:rPr>
              <w:color w:val="auto"/>
            </w:rPr>
            <w:instrText xml:space="preserve"> PAGEREF _Toc28783 \h </w:instrText>
          </w:r>
          <w:r>
            <w:rPr>
              <w:color w:val="auto"/>
            </w:rPr>
            <w:fldChar w:fldCharType="separate"/>
          </w:r>
          <w:r>
            <w:rPr>
              <w:color w:val="auto"/>
            </w:rPr>
            <w:t>14</w:t>
          </w:r>
          <w:r>
            <w:rPr>
              <w:color w:val="auto"/>
            </w:rPr>
            <w:fldChar w:fldCharType="end"/>
          </w:r>
          <w:r>
            <w:rPr>
              <w:rFonts w:ascii="Arial" w:hAnsi="Arial" w:eastAsia="等线" w:cs="Arial"/>
              <w:bCs/>
              <w:color w:val="auto"/>
              <w:szCs w:val="32"/>
            </w:rPr>
            <w:fldChar w:fldCharType="end"/>
          </w:r>
        </w:p>
        <w:p w14:paraId="7A74B52C">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_Toc28273 </w:instrText>
          </w:r>
          <w:r>
            <w:rPr>
              <w:rFonts w:ascii="Arial" w:hAnsi="Arial" w:eastAsia="等线" w:cs="Arial"/>
              <w:bCs/>
              <w:color w:val="auto"/>
              <w:szCs w:val="32"/>
            </w:rPr>
            <w:fldChar w:fldCharType="separate"/>
          </w:r>
          <w:r>
            <w:rPr>
              <w:color w:val="auto"/>
            </w:rPr>
            <w:t>5.4.3 设备维修与报废</w:t>
          </w:r>
          <w:r>
            <w:rPr>
              <w:color w:val="auto"/>
            </w:rPr>
            <w:tab/>
          </w:r>
          <w:r>
            <w:rPr>
              <w:color w:val="auto"/>
            </w:rPr>
            <w:fldChar w:fldCharType="begin"/>
          </w:r>
          <w:r>
            <w:rPr>
              <w:color w:val="auto"/>
            </w:rPr>
            <w:instrText xml:space="preserve"> PAGEREF _Toc28273 \h </w:instrText>
          </w:r>
          <w:r>
            <w:rPr>
              <w:color w:val="auto"/>
            </w:rPr>
            <w:fldChar w:fldCharType="separate"/>
          </w:r>
          <w:r>
            <w:rPr>
              <w:color w:val="auto"/>
            </w:rPr>
            <w:t>15</w:t>
          </w:r>
          <w:r>
            <w:rPr>
              <w:color w:val="auto"/>
            </w:rPr>
            <w:fldChar w:fldCharType="end"/>
          </w:r>
          <w:r>
            <w:rPr>
              <w:rFonts w:ascii="Arial" w:hAnsi="Arial" w:eastAsia="等线" w:cs="Arial"/>
              <w:bCs/>
              <w:color w:val="auto"/>
              <w:szCs w:val="32"/>
            </w:rPr>
            <w:fldChar w:fldCharType="end"/>
          </w:r>
        </w:p>
        <w:p w14:paraId="04525B02">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_Toc31878 </w:instrText>
          </w:r>
          <w:r>
            <w:rPr>
              <w:rFonts w:ascii="Arial" w:hAnsi="Arial" w:eastAsia="等线" w:cs="Arial"/>
              <w:bCs/>
              <w:color w:val="auto"/>
              <w:szCs w:val="32"/>
            </w:rPr>
            <w:fldChar w:fldCharType="separate"/>
          </w:r>
          <w:r>
            <w:rPr>
              <w:color w:val="auto"/>
            </w:rPr>
            <w:t>5.5 对外合作管理制度</w:t>
          </w:r>
          <w:r>
            <w:rPr>
              <w:color w:val="auto"/>
            </w:rPr>
            <w:tab/>
          </w:r>
          <w:r>
            <w:rPr>
              <w:color w:val="auto"/>
            </w:rPr>
            <w:fldChar w:fldCharType="begin"/>
          </w:r>
          <w:r>
            <w:rPr>
              <w:color w:val="auto"/>
            </w:rPr>
            <w:instrText xml:space="preserve"> PAGEREF _Toc31878 \h </w:instrText>
          </w:r>
          <w:r>
            <w:rPr>
              <w:color w:val="auto"/>
            </w:rPr>
            <w:fldChar w:fldCharType="separate"/>
          </w:r>
          <w:r>
            <w:rPr>
              <w:color w:val="auto"/>
            </w:rPr>
            <w:t>15</w:t>
          </w:r>
          <w:r>
            <w:rPr>
              <w:color w:val="auto"/>
            </w:rPr>
            <w:fldChar w:fldCharType="end"/>
          </w:r>
          <w:r>
            <w:rPr>
              <w:rFonts w:ascii="Arial" w:hAnsi="Arial" w:eastAsia="等线" w:cs="Arial"/>
              <w:bCs/>
              <w:color w:val="auto"/>
              <w:szCs w:val="32"/>
            </w:rPr>
            <w:fldChar w:fldCharType="end"/>
          </w:r>
        </w:p>
        <w:p w14:paraId="40FC30E1">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_Toc17385 </w:instrText>
          </w:r>
          <w:r>
            <w:rPr>
              <w:rFonts w:ascii="Arial" w:hAnsi="Arial" w:eastAsia="等线" w:cs="Arial"/>
              <w:bCs/>
              <w:color w:val="auto"/>
              <w:szCs w:val="32"/>
            </w:rPr>
            <w:fldChar w:fldCharType="separate"/>
          </w:r>
          <w:r>
            <w:rPr>
              <w:color w:val="auto"/>
            </w:rPr>
            <w:t>5.5.1 合作方保密管理</w:t>
          </w:r>
          <w:r>
            <w:rPr>
              <w:color w:val="auto"/>
            </w:rPr>
            <w:tab/>
          </w:r>
          <w:r>
            <w:rPr>
              <w:color w:val="auto"/>
            </w:rPr>
            <w:fldChar w:fldCharType="begin"/>
          </w:r>
          <w:r>
            <w:rPr>
              <w:color w:val="auto"/>
            </w:rPr>
            <w:instrText xml:space="preserve"> PAGEREF _Toc17385 \h </w:instrText>
          </w:r>
          <w:r>
            <w:rPr>
              <w:color w:val="auto"/>
            </w:rPr>
            <w:fldChar w:fldCharType="separate"/>
          </w:r>
          <w:r>
            <w:rPr>
              <w:color w:val="auto"/>
            </w:rPr>
            <w:t>15</w:t>
          </w:r>
          <w:r>
            <w:rPr>
              <w:color w:val="auto"/>
            </w:rPr>
            <w:fldChar w:fldCharType="end"/>
          </w:r>
          <w:r>
            <w:rPr>
              <w:rFonts w:ascii="Arial" w:hAnsi="Arial" w:eastAsia="等线" w:cs="Arial"/>
              <w:bCs/>
              <w:color w:val="auto"/>
              <w:szCs w:val="32"/>
            </w:rPr>
            <w:fldChar w:fldCharType="end"/>
          </w:r>
        </w:p>
        <w:p w14:paraId="26514461">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_Toc15114 </w:instrText>
          </w:r>
          <w:r>
            <w:rPr>
              <w:rFonts w:ascii="Arial" w:hAnsi="Arial" w:eastAsia="等线" w:cs="Arial"/>
              <w:bCs/>
              <w:color w:val="auto"/>
              <w:szCs w:val="32"/>
            </w:rPr>
            <w:fldChar w:fldCharType="separate"/>
          </w:r>
          <w:r>
            <w:rPr>
              <w:color w:val="auto"/>
            </w:rPr>
            <w:t>5.5.2 招投标保密管理</w:t>
          </w:r>
          <w:r>
            <w:rPr>
              <w:color w:val="auto"/>
            </w:rPr>
            <w:tab/>
          </w:r>
          <w:r>
            <w:rPr>
              <w:color w:val="auto"/>
            </w:rPr>
            <w:fldChar w:fldCharType="begin"/>
          </w:r>
          <w:r>
            <w:rPr>
              <w:color w:val="auto"/>
            </w:rPr>
            <w:instrText xml:space="preserve"> PAGEREF _Toc15114 \h </w:instrText>
          </w:r>
          <w:r>
            <w:rPr>
              <w:color w:val="auto"/>
            </w:rPr>
            <w:fldChar w:fldCharType="separate"/>
          </w:r>
          <w:r>
            <w:rPr>
              <w:color w:val="auto"/>
            </w:rPr>
            <w:t>15</w:t>
          </w:r>
          <w:r>
            <w:rPr>
              <w:color w:val="auto"/>
            </w:rPr>
            <w:fldChar w:fldCharType="end"/>
          </w:r>
          <w:r>
            <w:rPr>
              <w:rFonts w:ascii="Arial" w:hAnsi="Arial" w:eastAsia="等线" w:cs="Arial"/>
              <w:bCs/>
              <w:color w:val="auto"/>
              <w:szCs w:val="32"/>
            </w:rPr>
            <w:fldChar w:fldCharType="end"/>
          </w:r>
        </w:p>
        <w:p w14:paraId="51FD17E3">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_Toc18239 </w:instrText>
          </w:r>
          <w:r>
            <w:rPr>
              <w:rFonts w:ascii="Arial" w:hAnsi="Arial" w:eastAsia="等线" w:cs="Arial"/>
              <w:bCs/>
              <w:color w:val="auto"/>
              <w:szCs w:val="32"/>
            </w:rPr>
            <w:fldChar w:fldCharType="separate"/>
          </w:r>
          <w:r>
            <w:rPr>
              <w:color w:val="auto"/>
            </w:rPr>
            <w:t>5.5.3 行政检查与参观保密管理</w:t>
          </w:r>
          <w:r>
            <w:rPr>
              <w:color w:val="auto"/>
            </w:rPr>
            <w:tab/>
          </w:r>
          <w:r>
            <w:rPr>
              <w:color w:val="auto"/>
            </w:rPr>
            <w:fldChar w:fldCharType="begin"/>
          </w:r>
          <w:r>
            <w:rPr>
              <w:color w:val="auto"/>
            </w:rPr>
            <w:instrText xml:space="preserve"> PAGEREF _Toc18239 \h </w:instrText>
          </w:r>
          <w:r>
            <w:rPr>
              <w:color w:val="auto"/>
            </w:rPr>
            <w:fldChar w:fldCharType="separate"/>
          </w:r>
          <w:r>
            <w:rPr>
              <w:color w:val="auto"/>
            </w:rPr>
            <w:t>16</w:t>
          </w:r>
          <w:r>
            <w:rPr>
              <w:color w:val="auto"/>
            </w:rPr>
            <w:fldChar w:fldCharType="end"/>
          </w:r>
          <w:r>
            <w:rPr>
              <w:rFonts w:ascii="Arial" w:hAnsi="Arial" w:eastAsia="等线" w:cs="Arial"/>
              <w:bCs/>
              <w:color w:val="auto"/>
              <w:szCs w:val="32"/>
            </w:rPr>
            <w:fldChar w:fldCharType="end"/>
          </w:r>
        </w:p>
        <w:p w14:paraId="5EDFEB70">
          <w:pPr>
            <w:pStyle w:val="11"/>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_Toc388 </w:instrText>
          </w:r>
          <w:r>
            <w:rPr>
              <w:rFonts w:ascii="Arial" w:hAnsi="Arial" w:eastAsia="等线" w:cs="Arial"/>
              <w:bCs/>
              <w:color w:val="auto"/>
              <w:szCs w:val="32"/>
            </w:rPr>
            <w:fldChar w:fldCharType="separate"/>
          </w:r>
          <w:r>
            <w:rPr>
              <w:color w:val="auto"/>
            </w:rPr>
            <w:t>六、商业秘密全流程管理体系</w:t>
          </w:r>
          <w:r>
            <w:rPr>
              <w:color w:val="auto"/>
            </w:rPr>
            <w:tab/>
          </w:r>
          <w:r>
            <w:rPr>
              <w:color w:val="auto"/>
            </w:rPr>
            <w:fldChar w:fldCharType="begin"/>
          </w:r>
          <w:r>
            <w:rPr>
              <w:color w:val="auto"/>
            </w:rPr>
            <w:instrText xml:space="preserve"> PAGEREF _Toc388 \h </w:instrText>
          </w:r>
          <w:r>
            <w:rPr>
              <w:color w:val="auto"/>
            </w:rPr>
            <w:fldChar w:fldCharType="separate"/>
          </w:r>
          <w:r>
            <w:rPr>
              <w:color w:val="auto"/>
            </w:rPr>
            <w:t>16</w:t>
          </w:r>
          <w:r>
            <w:rPr>
              <w:color w:val="auto"/>
            </w:rPr>
            <w:fldChar w:fldCharType="end"/>
          </w:r>
          <w:r>
            <w:rPr>
              <w:rFonts w:ascii="Arial" w:hAnsi="Arial" w:eastAsia="等线" w:cs="Arial"/>
              <w:bCs/>
              <w:color w:val="auto"/>
              <w:szCs w:val="32"/>
            </w:rPr>
            <w:fldChar w:fldCharType="end"/>
          </w:r>
        </w:p>
        <w:p w14:paraId="1630FFD4">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_Toc23287 </w:instrText>
          </w:r>
          <w:r>
            <w:rPr>
              <w:rFonts w:ascii="Arial" w:hAnsi="Arial" w:eastAsia="等线" w:cs="Arial"/>
              <w:bCs/>
              <w:color w:val="auto"/>
              <w:szCs w:val="32"/>
            </w:rPr>
            <w:fldChar w:fldCharType="separate"/>
          </w:r>
          <w:r>
            <w:rPr>
              <w:color w:val="auto"/>
            </w:rPr>
            <w:t>6.1 研发过程管理</w:t>
          </w:r>
          <w:r>
            <w:rPr>
              <w:color w:val="auto"/>
            </w:rPr>
            <w:tab/>
          </w:r>
          <w:r>
            <w:rPr>
              <w:color w:val="auto"/>
            </w:rPr>
            <w:fldChar w:fldCharType="begin"/>
          </w:r>
          <w:r>
            <w:rPr>
              <w:color w:val="auto"/>
            </w:rPr>
            <w:instrText xml:space="preserve"> PAGEREF _Toc23287 \h </w:instrText>
          </w:r>
          <w:r>
            <w:rPr>
              <w:color w:val="auto"/>
            </w:rPr>
            <w:fldChar w:fldCharType="separate"/>
          </w:r>
          <w:r>
            <w:rPr>
              <w:color w:val="auto"/>
            </w:rPr>
            <w:t>16</w:t>
          </w:r>
          <w:r>
            <w:rPr>
              <w:color w:val="auto"/>
            </w:rPr>
            <w:fldChar w:fldCharType="end"/>
          </w:r>
          <w:r>
            <w:rPr>
              <w:rFonts w:ascii="Arial" w:hAnsi="Arial" w:eastAsia="等线" w:cs="Arial"/>
              <w:bCs/>
              <w:color w:val="auto"/>
              <w:szCs w:val="32"/>
            </w:rPr>
            <w:fldChar w:fldCharType="end"/>
          </w:r>
        </w:p>
        <w:p w14:paraId="2A2F324A">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_Toc1799 </w:instrText>
          </w:r>
          <w:r>
            <w:rPr>
              <w:rFonts w:ascii="Arial" w:hAnsi="Arial" w:eastAsia="等线" w:cs="Arial"/>
              <w:bCs/>
              <w:color w:val="auto"/>
              <w:szCs w:val="32"/>
            </w:rPr>
            <w:fldChar w:fldCharType="separate"/>
          </w:r>
          <w:r>
            <w:rPr>
              <w:color w:val="auto"/>
            </w:rPr>
            <w:t>6.1.1 研发立项阶段</w:t>
          </w:r>
          <w:r>
            <w:rPr>
              <w:color w:val="auto"/>
            </w:rPr>
            <w:tab/>
          </w:r>
          <w:r>
            <w:rPr>
              <w:color w:val="auto"/>
            </w:rPr>
            <w:fldChar w:fldCharType="begin"/>
          </w:r>
          <w:r>
            <w:rPr>
              <w:color w:val="auto"/>
            </w:rPr>
            <w:instrText xml:space="preserve"> PAGEREF _Toc1799 \h </w:instrText>
          </w:r>
          <w:r>
            <w:rPr>
              <w:color w:val="auto"/>
            </w:rPr>
            <w:fldChar w:fldCharType="separate"/>
          </w:r>
          <w:r>
            <w:rPr>
              <w:color w:val="auto"/>
            </w:rPr>
            <w:t>16</w:t>
          </w:r>
          <w:r>
            <w:rPr>
              <w:color w:val="auto"/>
            </w:rPr>
            <w:fldChar w:fldCharType="end"/>
          </w:r>
          <w:r>
            <w:rPr>
              <w:rFonts w:ascii="Arial" w:hAnsi="Arial" w:eastAsia="等线" w:cs="Arial"/>
              <w:bCs/>
              <w:color w:val="auto"/>
              <w:szCs w:val="32"/>
            </w:rPr>
            <w:fldChar w:fldCharType="end"/>
          </w:r>
        </w:p>
        <w:p w14:paraId="54ABD38D">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_Toc9743 </w:instrText>
          </w:r>
          <w:r>
            <w:rPr>
              <w:rFonts w:ascii="Arial" w:hAnsi="Arial" w:eastAsia="等线" w:cs="Arial"/>
              <w:bCs/>
              <w:color w:val="auto"/>
              <w:szCs w:val="32"/>
            </w:rPr>
            <w:fldChar w:fldCharType="separate"/>
          </w:r>
          <w:r>
            <w:rPr>
              <w:color w:val="auto"/>
            </w:rPr>
            <w:t>6.1.2 研发实施阶段</w:t>
          </w:r>
          <w:r>
            <w:rPr>
              <w:color w:val="auto"/>
            </w:rPr>
            <w:tab/>
          </w:r>
          <w:r>
            <w:rPr>
              <w:color w:val="auto"/>
            </w:rPr>
            <w:fldChar w:fldCharType="begin"/>
          </w:r>
          <w:r>
            <w:rPr>
              <w:color w:val="auto"/>
            </w:rPr>
            <w:instrText xml:space="preserve"> PAGEREF _Toc9743 \h </w:instrText>
          </w:r>
          <w:r>
            <w:rPr>
              <w:color w:val="auto"/>
            </w:rPr>
            <w:fldChar w:fldCharType="separate"/>
          </w:r>
          <w:r>
            <w:rPr>
              <w:color w:val="auto"/>
            </w:rPr>
            <w:t>16</w:t>
          </w:r>
          <w:r>
            <w:rPr>
              <w:color w:val="auto"/>
            </w:rPr>
            <w:fldChar w:fldCharType="end"/>
          </w:r>
          <w:r>
            <w:rPr>
              <w:rFonts w:ascii="Arial" w:hAnsi="Arial" w:eastAsia="等线" w:cs="Arial"/>
              <w:bCs/>
              <w:color w:val="auto"/>
              <w:szCs w:val="32"/>
            </w:rPr>
            <w:fldChar w:fldCharType="end"/>
          </w:r>
        </w:p>
        <w:p w14:paraId="622D2C78">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_Toc14850 </w:instrText>
          </w:r>
          <w:r>
            <w:rPr>
              <w:rFonts w:ascii="Arial" w:hAnsi="Arial" w:eastAsia="等线" w:cs="Arial"/>
              <w:bCs/>
              <w:color w:val="auto"/>
              <w:szCs w:val="32"/>
            </w:rPr>
            <w:fldChar w:fldCharType="separate"/>
          </w:r>
          <w:r>
            <w:rPr>
              <w:color w:val="auto"/>
            </w:rPr>
            <w:t>6.1.3 研发成果阶段</w:t>
          </w:r>
          <w:r>
            <w:rPr>
              <w:color w:val="auto"/>
            </w:rPr>
            <w:tab/>
          </w:r>
          <w:r>
            <w:rPr>
              <w:color w:val="auto"/>
            </w:rPr>
            <w:fldChar w:fldCharType="begin"/>
          </w:r>
          <w:r>
            <w:rPr>
              <w:color w:val="auto"/>
            </w:rPr>
            <w:instrText xml:space="preserve"> PAGEREF _Toc14850 \h </w:instrText>
          </w:r>
          <w:r>
            <w:rPr>
              <w:color w:val="auto"/>
            </w:rPr>
            <w:fldChar w:fldCharType="separate"/>
          </w:r>
          <w:r>
            <w:rPr>
              <w:color w:val="auto"/>
            </w:rPr>
            <w:t>17</w:t>
          </w:r>
          <w:r>
            <w:rPr>
              <w:color w:val="auto"/>
            </w:rPr>
            <w:fldChar w:fldCharType="end"/>
          </w:r>
          <w:r>
            <w:rPr>
              <w:rFonts w:ascii="Arial" w:hAnsi="Arial" w:eastAsia="等线" w:cs="Arial"/>
              <w:bCs/>
              <w:color w:val="auto"/>
              <w:szCs w:val="32"/>
            </w:rPr>
            <w:fldChar w:fldCharType="end"/>
          </w:r>
        </w:p>
        <w:p w14:paraId="4007ECFE">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_Toc23286 </w:instrText>
          </w:r>
          <w:r>
            <w:rPr>
              <w:rFonts w:ascii="Arial" w:hAnsi="Arial" w:eastAsia="等线" w:cs="Arial"/>
              <w:bCs/>
              <w:color w:val="auto"/>
              <w:szCs w:val="32"/>
            </w:rPr>
            <w:fldChar w:fldCharType="separate"/>
          </w:r>
          <w:r>
            <w:rPr>
              <w:color w:val="auto"/>
            </w:rPr>
            <w:t>6.2 生产过程管理</w:t>
          </w:r>
          <w:r>
            <w:rPr>
              <w:color w:val="auto"/>
            </w:rPr>
            <w:tab/>
          </w:r>
          <w:r>
            <w:rPr>
              <w:color w:val="auto"/>
            </w:rPr>
            <w:fldChar w:fldCharType="begin"/>
          </w:r>
          <w:r>
            <w:rPr>
              <w:color w:val="auto"/>
            </w:rPr>
            <w:instrText xml:space="preserve"> PAGEREF _Toc23286 \h </w:instrText>
          </w:r>
          <w:r>
            <w:rPr>
              <w:color w:val="auto"/>
            </w:rPr>
            <w:fldChar w:fldCharType="separate"/>
          </w:r>
          <w:r>
            <w:rPr>
              <w:color w:val="auto"/>
            </w:rPr>
            <w:t>17</w:t>
          </w:r>
          <w:r>
            <w:rPr>
              <w:color w:val="auto"/>
            </w:rPr>
            <w:fldChar w:fldCharType="end"/>
          </w:r>
          <w:r>
            <w:rPr>
              <w:rFonts w:ascii="Arial" w:hAnsi="Arial" w:eastAsia="等线" w:cs="Arial"/>
              <w:bCs/>
              <w:color w:val="auto"/>
              <w:szCs w:val="32"/>
            </w:rPr>
            <w:fldChar w:fldCharType="end"/>
          </w:r>
        </w:p>
        <w:p w14:paraId="20F7E2EE">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_Toc4575 </w:instrText>
          </w:r>
          <w:r>
            <w:rPr>
              <w:rFonts w:ascii="Arial" w:hAnsi="Arial" w:eastAsia="等线" w:cs="Arial"/>
              <w:bCs/>
              <w:color w:val="auto"/>
              <w:szCs w:val="32"/>
            </w:rPr>
            <w:fldChar w:fldCharType="separate"/>
          </w:r>
          <w:r>
            <w:rPr>
              <w:color w:val="auto"/>
            </w:rPr>
            <w:t>6.2.1 工艺参数管理</w:t>
          </w:r>
          <w:r>
            <w:rPr>
              <w:color w:val="auto"/>
            </w:rPr>
            <w:tab/>
          </w:r>
          <w:r>
            <w:rPr>
              <w:color w:val="auto"/>
            </w:rPr>
            <w:fldChar w:fldCharType="begin"/>
          </w:r>
          <w:r>
            <w:rPr>
              <w:color w:val="auto"/>
            </w:rPr>
            <w:instrText xml:space="preserve"> PAGEREF _Toc4575 \h </w:instrText>
          </w:r>
          <w:r>
            <w:rPr>
              <w:color w:val="auto"/>
            </w:rPr>
            <w:fldChar w:fldCharType="separate"/>
          </w:r>
          <w:r>
            <w:rPr>
              <w:color w:val="auto"/>
            </w:rPr>
            <w:t>17</w:t>
          </w:r>
          <w:r>
            <w:rPr>
              <w:color w:val="auto"/>
            </w:rPr>
            <w:fldChar w:fldCharType="end"/>
          </w:r>
          <w:r>
            <w:rPr>
              <w:rFonts w:ascii="Arial" w:hAnsi="Arial" w:eastAsia="等线" w:cs="Arial"/>
              <w:bCs/>
              <w:color w:val="auto"/>
              <w:szCs w:val="32"/>
            </w:rPr>
            <w:fldChar w:fldCharType="end"/>
          </w:r>
        </w:p>
        <w:p w14:paraId="2A3C6A55">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_Toc20293 </w:instrText>
          </w:r>
          <w:r>
            <w:rPr>
              <w:rFonts w:ascii="Arial" w:hAnsi="Arial" w:eastAsia="等线" w:cs="Arial"/>
              <w:bCs/>
              <w:color w:val="auto"/>
              <w:szCs w:val="32"/>
            </w:rPr>
            <w:fldChar w:fldCharType="separate"/>
          </w:r>
          <w:r>
            <w:rPr>
              <w:color w:val="auto"/>
            </w:rPr>
            <w:t>6.2.2 生产车间管理</w:t>
          </w:r>
          <w:r>
            <w:rPr>
              <w:color w:val="auto"/>
            </w:rPr>
            <w:tab/>
          </w:r>
          <w:r>
            <w:rPr>
              <w:color w:val="auto"/>
            </w:rPr>
            <w:fldChar w:fldCharType="begin"/>
          </w:r>
          <w:r>
            <w:rPr>
              <w:color w:val="auto"/>
            </w:rPr>
            <w:instrText xml:space="preserve"> PAGEREF _Toc20293 \h </w:instrText>
          </w:r>
          <w:r>
            <w:rPr>
              <w:color w:val="auto"/>
            </w:rPr>
            <w:fldChar w:fldCharType="separate"/>
          </w:r>
          <w:r>
            <w:rPr>
              <w:color w:val="auto"/>
            </w:rPr>
            <w:t>17</w:t>
          </w:r>
          <w:r>
            <w:rPr>
              <w:color w:val="auto"/>
            </w:rPr>
            <w:fldChar w:fldCharType="end"/>
          </w:r>
          <w:r>
            <w:rPr>
              <w:rFonts w:ascii="Arial" w:hAnsi="Arial" w:eastAsia="等线" w:cs="Arial"/>
              <w:bCs/>
              <w:color w:val="auto"/>
              <w:szCs w:val="32"/>
            </w:rPr>
            <w:fldChar w:fldCharType="end"/>
          </w:r>
        </w:p>
        <w:p w14:paraId="5F78713A">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_Toc8801 </w:instrText>
          </w:r>
          <w:r>
            <w:rPr>
              <w:rFonts w:ascii="Arial" w:hAnsi="Arial" w:eastAsia="等线" w:cs="Arial"/>
              <w:bCs/>
              <w:color w:val="auto"/>
              <w:szCs w:val="32"/>
            </w:rPr>
            <w:fldChar w:fldCharType="separate"/>
          </w:r>
          <w:r>
            <w:rPr>
              <w:color w:val="auto"/>
            </w:rPr>
            <w:t>6.2.3 生产设备管理</w:t>
          </w:r>
          <w:r>
            <w:rPr>
              <w:color w:val="auto"/>
            </w:rPr>
            <w:tab/>
          </w:r>
          <w:r>
            <w:rPr>
              <w:color w:val="auto"/>
            </w:rPr>
            <w:fldChar w:fldCharType="begin"/>
          </w:r>
          <w:r>
            <w:rPr>
              <w:color w:val="auto"/>
            </w:rPr>
            <w:instrText xml:space="preserve"> PAGEREF _Toc8801 \h </w:instrText>
          </w:r>
          <w:r>
            <w:rPr>
              <w:color w:val="auto"/>
            </w:rPr>
            <w:fldChar w:fldCharType="separate"/>
          </w:r>
          <w:r>
            <w:rPr>
              <w:color w:val="auto"/>
            </w:rPr>
            <w:t>18</w:t>
          </w:r>
          <w:r>
            <w:rPr>
              <w:color w:val="auto"/>
            </w:rPr>
            <w:fldChar w:fldCharType="end"/>
          </w:r>
          <w:r>
            <w:rPr>
              <w:rFonts w:ascii="Arial" w:hAnsi="Arial" w:eastAsia="等线" w:cs="Arial"/>
              <w:bCs/>
              <w:color w:val="auto"/>
              <w:szCs w:val="32"/>
            </w:rPr>
            <w:fldChar w:fldCharType="end"/>
          </w:r>
        </w:p>
        <w:p w14:paraId="1ED188D2">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_Toc12820 </w:instrText>
          </w:r>
          <w:r>
            <w:rPr>
              <w:rFonts w:ascii="Arial" w:hAnsi="Arial" w:eastAsia="等线" w:cs="Arial"/>
              <w:bCs/>
              <w:color w:val="auto"/>
              <w:szCs w:val="32"/>
            </w:rPr>
            <w:fldChar w:fldCharType="separate"/>
          </w:r>
          <w:r>
            <w:rPr>
              <w:color w:val="auto"/>
            </w:rPr>
            <w:t>6.3 采购过程管理</w:t>
          </w:r>
          <w:r>
            <w:rPr>
              <w:color w:val="auto"/>
            </w:rPr>
            <w:tab/>
          </w:r>
          <w:r>
            <w:rPr>
              <w:color w:val="auto"/>
            </w:rPr>
            <w:fldChar w:fldCharType="begin"/>
          </w:r>
          <w:r>
            <w:rPr>
              <w:color w:val="auto"/>
            </w:rPr>
            <w:instrText xml:space="preserve"> PAGEREF _Toc12820 \h </w:instrText>
          </w:r>
          <w:r>
            <w:rPr>
              <w:color w:val="auto"/>
            </w:rPr>
            <w:fldChar w:fldCharType="separate"/>
          </w:r>
          <w:r>
            <w:rPr>
              <w:color w:val="auto"/>
            </w:rPr>
            <w:t>18</w:t>
          </w:r>
          <w:r>
            <w:rPr>
              <w:color w:val="auto"/>
            </w:rPr>
            <w:fldChar w:fldCharType="end"/>
          </w:r>
          <w:r>
            <w:rPr>
              <w:rFonts w:ascii="Arial" w:hAnsi="Arial" w:eastAsia="等线" w:cs="Arial"/>
              <w:bCs/>
              <w:color w:val="auto"/>
              <w:szCs w:val="32"/>
            </w:rPr>
            <w:fldChar w:fldCharType="end"/>
          </w:r>
        </w:p>
        <w:p w14:paraId="203454E8">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_Toc10008 </w:instrText>
          </w:r>
          <w:r>
            <w:rPr>
              <w:rFonts w:ascii="Arial" w:hAnsi="Arial" w:eastAsia="等线" w:cs="Arial"/>
              <w:bCs/>
              <w:color w:val="auto"/>
              <w:szCs w:val="32"/>
            </w:rPr>
            <w:fldChar w:fldCharType="separate"/>
          </w:r>
          <w:r>
            <w:rPr>
              <w:color w:val="auto"/>
            </w:rPr>
            <w:t>6.3.1 供应商管理</w:t>
          </w:r>
          <w:r>
            <w:rPr>
              <w:color w:val="auto"/>
            </w:rPr>
            <w:tab/>
          </w:r>
          <w:r>
            <w:rPr>
              <w:color w:val="auto"/>
            </w:rPr>
            <w:fldChar w:fldCharType="begin"/>
          </w:r>
          <w:r>
            <w:rPr>
              <w:color w:val="auto"/>
            </w:rPr>
            <w:instrText xml:space="preserve"> PAGEREF _Toc10008 \h </w:instrText>
          </w:r>
          <w:r>
            <w:rPr>
              <w:color w:val="auto"/>
            </w:rPr>
            <w:fldChar w:fldCharType="separate"/>
          </w:r>
          <w:r>
            <w:rPr>
              <w:color w:val="auto"/>
            </w:rPr>
            <w:t>18</w:t>
          </w:r>
          <w:r>
            <w:rPr>
              <w:color w:val="auto"/>
            </w:rPr>
            <w:fldChar w:fldCharType="end"/>
          </w:r>
          <w:r>
            <w:rPr>
              <w:rFonts w:ascii="Arial" w:hAnsi="Arial" w:eastAsia="等线" w:cs="Arial"/>
              <w:bCs/>
              <w:color w:val="auto"/>
              <w:szCs w:val="32"/>
            </w:rPr>
            <w:fldChar w:fldCharType="end"/>
          </w:r>
        </w:p>
        <w:p w14:paraId="6D9D0F86">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_Toc24099 </w:instrText>
          </w:r>
          <w:r>
            <w:rPr>
              <w:rFonts w:ascii="Arial" w:hAnsi="Arial" w:eastAsia="等线" w:cs="Arial"/>
              <w:bCs/>
              <w:color w:val="auto"/>
              <w:szCs w:val="32"/>
            </w:rPr>
            <w:fldChar w:fldCharType="separate"/>
          </w:r>
          <w:r>
            <w:rPr>
              <w:color w:val="auto"/>
            </w:rPr>
            <w:t>6.3.2 采购信息管理</w:t>
          </w:r>
          <w:r>
            <w:rPr>
              <w:color w:val="auto"/>
            </w:rPr>
            <w:tab/>
          </w:r>
          <w:r>
            <w:rPr>
              <w:color w:val="auto"/>
            </w:rPr>
            <w:fldChar w:fldCharType="begin"/>
          </w:r>
          <w:r>
            <w:rPr>
              <w:color w:val="auto"/>
            </w:rPr>
            <w:instrText xml:space="preserve"> PAGEREF _Toc24099 \h </w:instrText>
          </w:r>
          <w:r>
            <w:rPr>
              <w:color w:val="auto"/>
            </w:rPr>
            <w:fldChar w:fldCharType="separate"/>
          </w:r>
          <w:r>
            <w:rPr>
              <w:color w:val="auto"/>
            </w:rPr>
            <w:t>18</w:t>
          </w:r>
          <w:r>
            <w:rPr>
              <w:color w:val="auto"/>
            </w:rPr>
            <w:fldChar w:fldCharType="end"/>
          </w:r>
          <w:r>
            <w:rPr>
              <w:rFonts w:ascii="Arial" w:hAnsi="Arial" w:eastAsia="等线" w:cs="Arial"/>
              <w:bCs/>
              <w:color w:val="auto"/>
              <w:szCs w:val="32"/>
            </w:rPr>
            <w:fldChar w:fldCharType="end"/>
          </w:r>
        </w:p>
        <w:p w14:paraId="2D9E6142">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_Toc12143 </w:instrText>
          </w:r>
          <w:r>
            <w:rPr>
              <w:rFonts w:ascii="Arial" w:hAnsi="Arial" w:eastAsia="等线" w:cs="Arial"/>
              <w:bCs/>
              <w:color w:val="auto"/>
              <w:szCs w:val="32"/>
            </w:rPr>
            <w:fldChar w:fldCharType="separate"/>
          </w:r>
          <w:r>
            <w:rPr>
              <w:color w:val="auto"/>
            </w:rPr>
            <w:t>6.3.3 采购物资管理</w:t>
          </w:r>
          <w:r>
            <w:rPr>
              <w:color w:val="auto"/>
            </w:rPr>
            <w:tab/>
          </w:r>
          <w:r>
            <w:rPr>
              <w:color w:val="auto"/>
            </w:rPr>
            <w:fldChar w:fldCharType="begin"/>
          </w:r>
          <w:r>
            <w:rPr>
              <w:color w:val="auto"/>
            </w:rPr>
            <w:instrText xml:space="preserve"> PAGEREF _Toc12143 \h </w:instrText>
          </w:r>
          <w:r>
            <w:rPr>
              <w:color w:val="auto"/>
            </w:rPr>
            <w:fldChar w:fldCharType="separate"/>
          </w:r>
          <w:r>
            <w:rPr>
              <w:color w:val="auto"/>
            </w:rPr>
            <w:t>18</w:t>
          </w:r>
          <w:r>
            <w:rPr>
              <w:color w:val="auto"/>
            </w:rPr>
            <w:fldChar w:fldCharType="end"/>
          </w:r>
          <w:r>
            <w:rPr>
              <w:rFonts w:ascii="Arial" w:hAnsi="Arial" w:eastAsia="等线" w:cs="Arial"/>
              <w:bCs/>
              <w:color w:val="auto"/>
              <w:szCs w:val="32"/>
            </w:rPr>
            <w:fldChar w:fldCharType="end"/>
          </w:r>
        </w:p>
        <w:p w14:paraId="1807F27D">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_Toc28212 </w:instrText>
          </w:r>
          <w:r>
            <w:rPr>
              <w:rFonts w:ascii="Arial" w:hAnsi="Arial" w:eastAsia="等线" w:cs="Arial"/>
              <w:bCs/>
              <w:color w:val="auto"/>
              <w:szCs w:val="32"/>
            </w:rPr>
            <w:fldChar w:fldCharType="separate"/>
          </w:r>
          <w:r>
            <w:rPr>
              <w:color w:val="auto"/>
            </w:rPr>
            <w:t>6.4 销售过程管理</w:t>
          </w:r>
          <w:r>
            <w:rPr>
              <w:color w:val="auto"/>
            </w:rPr>
            <w:tab/>
          </w:r>
          <w:r>
            <w:rPr>
              <w:color w:val="auto"/>
            </w:rPr>
            <w:fldChar w:fldCharType="begin"/>
          </w:r>
          <w:r>
            <w:rPr>
              <w:color w:val="auto"/>
            </w:rPr>
            <w:instrText xml:space="preserve"> PAGEREF _Toc28212 \h </w:instrText>
          </w:r>
          <w:r>
            <w:rPr>
              <w:color w:val="auto"/>
            </w:rPr>
            <w:fldChar w:fldCharType="separate"/>
          </w:r>
          <w:r>
            <w:rPr>
              <w:color w:val="auto"/>
            </w:rPr>
            <w:t>19</w:t>
          </w:r>
          <w:r>
            <w:rPr>
              <w:color w:val="auto"/>
            </w:rPr>
            <w:fldChar w:fldCharType="end"/>
          </w:r>
          <w:r>
            <w:rPr>
              <w:rFonts w:ascii="Arial" w:hAnsi="Arial" w:eastAsia="等线" w:cs="Arial"/>
              <w:bCs/>
              <w:color w:val="auto"/>
              <w:szCs w:val="32"/>
            </w:rPr>
            <w:fldChar w:fldCharType="end"/>
          </w:r>
        </w:p>
        <w:p w14:paraId="4E69EBE1">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_Toc6167 </w:instrText>
          </w:r>
          <w:r>
            <w:rPr>
              <w:rFonts w:ascii="Arial" w:hAnsi="Arial" w:eastAsia="等线" w:cs="Arial"/>
              <w:bCs/>
              <w:color w:val="auto"/>
              <w:szCs w:val="32"/>
            </w:rPr>
            <w:fldChar w:fldCharType="separate"/>
          </w:r>
          <w:r>
            <w:rPr>
              <w:color w:val="auto"/>
            </w:rPr>
            <w:t>6.4.1 客户信息管理</w:t>
          </w:r>
          <w:r>
            <w:rPr>
              <w:color w:val="auto"/>
            </w:rPr>
            <w:tab/>
          </w:r>
          <w:r>
            <w:rPr>
              <w:color w:val="auto"/>
            </w:rPr>
            <w:fldChar w:fldCharType="begin"/>
          </w:r>
          <w:r>
            <w:rPr>
              <w:color w:val="auto"/>
            </w:rPr>
            <w:instrText xml:space="preserve"> PAGEREF _Toc6167 \h </w:instrText>
          </w:r>
          <w:r>
            <w:rPr>
              <w:color w:val="auto"/>
            </w:rPr>
            <w:fldChar w:fldCharType="separate"/>
          </w:r>
          <w:r>
            <w:rPr>
              <w:color w:val="auto"/>
            </w:rPr>
            <w:t>19</w:t>
          </w:r>
          <w:r>
            <w:rPr>
              <w:color w:val="auto"/>
            </w:rPr>
            <w:fldChar w:fldCharType="end"/>
          </w:r>
          <w:r>
            <w:rPr>
              <w:rFonts w:ascii="Arial" w:hAnsi="Arial" w:eastAsia="等线" w:cs="Arial"/>
              <w:bCs/>
              <w:color w:val="auto"/>
              <w:szCs w:val="32"/>
            </w:rPr>
            <w:fldChar w:fldCharType="end"/>
          </w:r>
        </w:p>
        <w:p w14:paraId="6AB9AF43">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_Toc11591 </w:instrText>
          </w:r>
          <w:r>
            <w:rPr>
              <w:rFonts w:ascii="Arial" w:hAnsi="Arial" w:eastAsia="等线" w:cs="Arial"/>
              <w:bCs/>
              <w:color w:val="auto"/>
              <w:szCs w:val="32"/>
            </w:rPr>
            <w:fldChar w:fldCharType="separate"/>
          </w:r>
          <w:r>
            <w:rPr>
              <w:color w:val="auto"/>
            </w:rPr>
            <w:t>6.4.2 销售合同管理</w:t>
          </w:r>
          <w:r>
            <w:rPr>
              <w:color w:val="auto"/>
            </w:rPr>
            <w:tab/>
          </w:r>
          <w:r>
            <w:rPr>
              <w:color w:val="auto"/>
            </w:rPr>
            <w:fldChar w:fldCharType="begin"/>
          </w:r>
          <w:r>
            <w:rPr>
              <w:color w:val="auto"/>
            </w:rPr>
            <w:instrText xml:space="preserve"> PAGEREF _Toc11591 \h </w:instrText>
          </w:r>
          <w:r>
            <w:rPr>
              <w:color w:val="auto"/>
            </w:rPr>
            <w:fldChar w:fldCharType="separate"/>
          </w:r>
          <w:r>
            <w:rPr>
              <w:color w:val="auto"/>
            </w:rPr>
            <w:t>19</w:t>
          </w:r>
          <w:r>
            <w:rPr>
              <w:color w:val="auto"/>
            </w:rPr>
            <w:fldChar w:fldCharType="end"/>
          </w:r>
          <w:r>
            <w:rPr>
              <w:rFonts w:ascii="Arial" w:hAnsi="Arial" w:eastAsia="等线" w:cs="Arial"/>
              <w:bCs/>
              <w:color w:val="auto"/>
              <w:szCs w:val="32"/>
            </w:rPr>
            <w:fldChar w:fldCharType="end"/>
          </w:r>
        </w:p>
        <w:p w14:paraId="2D448D06">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_Toc9438 </w:instrText>
          </w:r>
          <w:r>
            <w:rPr>
              <w:rFonts w:ascii="Arial" w:hAnsi="Arial" w:eastAsia="等线" w:cs="Arial"/>
              <w:bCs/>
              <w:color w:val="auto"/>
              <w:szCs w:val="32"/>
            </w:rPr>
            <w:fldChar w:fldCharType="separate"/>
          </w:r>
          <w:r>
            <w:rPr>
              <w:color w:val="auto"/>
            </w:rPr>
            <w:t>6.4.3 售后服务管理</w:t>
          </w:r>
          <w:r>
            <w:rPr>
              <w:color w:val="auto"/>
            </w:rPr>
            <w:tab/>
          </w:r>
          <w:r>
            <w:rPr>
              <w:color w:val="auto"/>
            </w:rPr>
            <w:fldChar w:fldCharType="begin"/>
          </w:r>
          <w:r>
            <w:rPr>
              <w:color w:val="auto"/>
            </w:rPr>
            <w:instrText xml:space="preserve"> PAGEREF _Toc9438 \h </w:instrText>
          </w:r>
          <w:r>
            <w:rPr>
              <w:color w:val="auto"/>
            </w:rPr>
            <w:fldChar w:fldCharType="separate"/>
          </w:r>
          <w:r>
            <w:rPr>
              <w:color w:val="auto"/>
            </w:rPr>
            <w:t>19</w:t>
          </w:r>
          <w:r>
            <w:rPr>
              <w:color w:val="auto"/>
            </w:rPr>
            <w:fldChar w:fldCharType="end"/>
          </w:r>
          <w:r>
            <w:rPr>
              <w:rFonts w:ascii="Arial" w:hAnsi="Arial" w:eastAsia="等线" w:cs="Arial"/>
              <w:bCs/>
              <w:color w:val="auto"/>
              <w:szCs w:val="32"/>
            </w:rPr>
            <w:fldChar w:fldCharType="end"/>
          </w:r>
        </w:p>
        <w:p w14:paraId="0196F06E">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_Toc2452 </w:instrText>
          </w:r>
          <w:r>
            <w:rPr>
              <w:rFonts w:ascii="Arial" w:hAnsi="Arial" w:eastAsia="等线" w:cs="Arial"/>
              <w:bCs/>
              <w:color w:val="auto"/>
              <w:szCs w:val="32"/>
            </w:rPr>
            <w:fldChar w:fldCharType="separate"/>
          </w:r>
          <w:r>
            <w:rPr>
              <w:color w:val="auto"/>
            </w:rPr>
            <w:t>6.5 其他关键过程管理</w:t>
          </w:r>
          <w:r>
            <w:rPr>
              <w:color w:val="auto"/>
            </w:rPr>
            <w:tab/>
          </w:r>
          <w:r>
            <w:rPr>
              <w:color w:val="auto"/>
            </w:rPr>
            <w:fldChar w:fldCharType="begin"/>
          </w:r>
          <w:r>
            <w:rPr>
              <w:color w:val="auto"/>
            </w:rPr>
            <w:instrText xml:space="preserve"> PAGEREF _Toc2452 \h </w:instrText>
          </w:r>
          <w:r>
            <w:rPr>
              <w:color w:val="auto"/>
            </w:rPr>
            <w:fldChar w:fldCharType="separate"/>
          </w:r>
          <w:r>
            <w:rPr>
              <w:color w:val="auto"/>
            </w:rPr>
            <w:t>19</w:t>
          </w:r>
          <w:r>
            <w:rPr>
              <w:color w:val="auto"/>
            </w:rPr>
            <w:fldChar w:fldCharType="end"/>
          </w:r>
          <w:r>
            <w:rPr>
              <w:rFonts w:ascii="Arial" w:hAnsi="Arial" w:eastAsia="等线" w:cs="Arial"/>
              <w:bCs/>
              <w:color w:val="auto"/>
              <w:szCs w:val="32"/>
            </w:rPr>
            <w:fldChar w:fldCharType="end"/>
          </w:r>
        </w:p>
        <w:p w14:paraId="3A55C6D8">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_Toc26166 </w:instrText>
          </w:r>
          <w:r>
            <w:rPr>
              <w:rFonts w:ascii="Arial" w:hAnsi="Arial" w:eastAsia="等线" w:cs="Arial"/>
              <w:bCs/>
              <w:color w:val="auto"/>
              <w:szCs w:val="32"/>
            </w:rPr>
            <w:fldChar w:fldCharType="separate"/>
          </w:r>
          <w:r>
            <w:rPr>
              <w:color w:val="auto"/>
            </w:rPr>
            <w:t>6.5.1 财务管理</w:t>
          </w:r>
          <w:r>
            <w:rPr>
              <w:color w:val="auto"/>
            </w:rPr>
            <w:tab/>
          </w:r>
          <w:r>
            <w:rPr>
              <w:color w:val="auto"/>
            </w:rPr>
            <w:fldChar w:fldCharType="begin"/>
          </w:r>
          <w:r>
            <w:rPr>
              <w:color w:val="auto"/>
            </w:rPr>
            <w:instrText xml:space="preserve"> PAGEREF _Toc26166 \h </w:instrText>
          </w:r>
          <w:r>
            <w:rPr>
              <w:color w:val="auto"/>
            </w:rPr>
            <w:fldChar w:fldCharType="separate"/>
          </w:r>
          <w:r>
            <w:rPr>
              <w:color w:val="auto"/>
            </w:rPr>
            <w:t>19</w:t>
          </w:r>
          <w:r>
            <w:rPr>
              <w:color w:val="auto"/>
            </w:rPr>
            <w:fldChar w:fldCharType="end"/>
          </w:r>
          <w:r>
            <w:rPr>
              <w:rFonts w:ascii="Arial" w:hAnsi="Arial" w:eastAsia="等线" w:cs="Arial"/>
              <w:bCs/>
              <w:color w:val="auto"/>
              <w:szCs w:val="32"/>
            </w:rPr>
            <w:fldChar w:fldCharType="end"/>
          </w:r>
        </w:p>
        <w:p w14:paraId="25F2CDBA">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_Toc10357 </w:instrText>
          </w:r>
          <w:r>
            <w:rPr>
              <w:rFonts w:ascii="Arial" w:hAnsi="Arial" w:eastAsia="等线" w:cs="Arial"/>
              <w:bCs/>
              <w:color w:val="auto"/>
              <w:szCs w:val="32"/>
            </w:rPr>
            <w:fldChar w:fldCharType="separate"/>
          </w:r>
          <w:r>
            <w:rPr>
              <w:color w:val="auto"/>
            </w:rPr>
            <w:t>6.5.2 人力资源管理</w:t>
          </w:r>
          <w:r>
            <w:rPr>
              <w:color w:val="auto"/>
            </w:rPr>
            <w:tab/>
          </w:r>
          <w:r>
            <w:rPr>
              <w:color w:val="auto"/>
            </w:rPr>
            <w:fldChar w:fldCharType="begin"/>
          </w:r>
          <w:r>
            <w:rPr>
              <w:color w:val="auto"/>
            </w:rPr>
            <w:instrText xml:space="preserve"> PAGEREF _Toc10357 \h </w:instrText>
          </w:r>
          <w:r>
            <w:rPr>
              <w:color w:val="auto"/>
            </w:rPr>
            <w:fldChar w:fldCharType="separate"/>
          </w:r>
          <w:r>
            <w:rPr>
              <w:color w:val="auto"/>
            </w:rPr>
            <w:t>20</w:t>
          </w:r>
          <w:r>
            <w:rPr>
              <w:color w:val="auto"/>
            </w:rPr>
            <w:fldChar w:fldCharType="end"/>
          </w:r>
          <w:r>
            <w:rPr>
              <w:rFonts w:ascii="Arial" w:hAnsi="Arial" w:eastAsia="等线" w:cs="Arial"/>
              <w:bCs/>
              <w:color w:val="auto"/>
              <w:szCs w:val="32"/>
            </w:rPr>
            <w:fldChar w:fldCharType="end"/>
          </w:r>
        </w:p>
        <w:p w14:paraId="559BD06A">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_Toc12277 </w:instrText>
          </w:r>
          <w:r>
            <w:rPr>
              <w:rFonts w:ascii="Arial" w:hAnsi="Arial" w:eastAsia="等线" w:cs="Arial"/>
              <w:bCs/>
              <w:color w:val="auto"/>
              <w:szCs w:val="32"/>
            </w:rPr>
            <w:fldChar w:fldCharType="separate"/>
          </w:r>
          <w:r>
            <w:rPr>
              <w:color w:val="auto"/>
            </w:rPr>
            <w:t>6.5.3 会议管理</w:t>
          </w:r>
          <w:r>
            <w:rPr>
              <w:color w:val="auto"/>
            </w:rPr>
            <w:tab/>
          </w:r>
          <w:r>
            <w:rPr>
              <w:color w:val="auto"/>
            </w:rPr>
            <w:fldChar w:fldCharType="begin"/>
          </w:r>
          <w:r>
            <w:rPr>
              <w:color w:val="auto"/>
            </w:rPr>
            <w:instrText xml:space="preserve"> PAGEREF _Toc12277 \h </w:instrText>
          </w:r>
          <w:r>
            <w:rPr>
              <w:color w:val="auto"/>
            </w:rPr>
            <w:fldChar w:fldCharType="separate"/>
          </w:r>
          <w:r>
            <w:rPr>
              <w:color w:val="auto"/>
            </w:rPr>
            <w:t>20</w:t>
          </w:r>
          <w:r>
            <w:rPr>
              <w:color w:val="auto"/>
            </w:rPr>
            <w:fldChar w:fldCharType="end"/>
          </w:r>
          <w:r>
            <w:rPr>
              <w:rFonts w:ascii="Arial" w:hAnsi="Arial" w:eastAsia="等线" w:cs="Arial"/>
              <w:bCs/>
              <w:color w:val="auto"/>
              <w:szCs w:val="32"/>
            </w:rPr>
            <w:fldChar w:fldCharType="end"/>
          </w:r>
        </w:p>
        <w:p w14:paraId="42F0651E">
          <w:pPr>
            <w:pStyle w:val="11"/>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_Toc27308 </w:instrText>
          </w:r>
          <w:r>
            <w:rPr>
              <w:rFonts w:ascii="Arial" w:hAnsi="Arial" w:eastAsia="等线" w:cs="Arial"/>
              <w:bCs/>
              <w:color w:val="auto"/>
              <w:szCs w:val="32"/>
            </w:rPr>
            <w:fldChar w:fldCharType="separate"/>
          </w:r>
          <w:r>
            <w:rPr>
              <w:color w:val="auto"/>
            </w:rPr>
            <w:t>七、商业秘密信息化与安全防护体系</w:t>
          </w:r>
          <w:r>
            <w:rPr>
              <w:color w:val="auto"/>
            </w:rPr>
            <w:tab/>
          </w:r>
          <w:r>
            <w:rPr>
              <w:color w:val="auto"/>
            </w:rPr>
            <w:fldChar w:fldCharType="begin"/>
          </w:r>
          <w:r>
            <w:rPr>
              <w:color w:val="auto"/>
            </w:rPr>
            <w:instrText xml:space="preserve"> PAGEREF _Toc27308 \h </w:instrText>
          </w:r>
          <w:r>
            <w:rPr>
              <w:color w:val="auto"/>
            </w:rPr>
            <w:fldChar w:fldCharType="separate"/>
          </w:r>
          <w:r>
            <w:rPr>
              <w:color w:val="auto"/>
            </w:rPr>
            <w:t>20</w:t>
          </w:r>
          <w:r>
            <w:rPr>
              <w:color w:val="auto"/>
            </w:rPr>
            <w:fldChar w:fldCharType="end"/>
          </w:r>
          <w:r>
            <w:rPr>
              <w:rFonts w:ascii="Arial" w:hAnsi="Arial" w:eastAsia="等线" w:cs="Arial"/>
              <w:bCs/>
              <w:color w:val="auto"/>
              <w:szCs w:val="32"/>
            </w:rPr>
            <w:fldChar w:fldCharType="end"/>
          </w:r>
        </w:p>
        <w:p w14:paraId="7B5270D9">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_Toc21270 </w:instrText>
          </w:r>
          <w:r>
            <w:rPr>
              <w:rFonts w:ascii="Arial" w:hAnsi="Arial" w:eastAsia="等线" w:cs="Arial"/>
              <w:bCs/>
              <w:color w:val="auto"/>
              <w:szCs w:val="32"/>
            </w:rPr>
            <w:fldChar w:fldCharType="separate"/>
          </w:r>
          <w:r>
            <w:rPr>
              <w:color w:val="auto"/>
            </w:rPr>
            <w:t>7.1 信息化安全规划</w:t>
          </w:r>
          <w:r>
            <w:rPr>
              <w:color w:val="auto"/>
            </w:rPr>
            <w:tab/>
          </w:r>
          <w:r>
            <w:rPr>
              <w:color w:val="auto"/>
            </w:rPr>
            <w:fldChar w:fldCharType="begin"/>
          </w:r>
          <w:r>
            <w:rPr>
              <w:color w:val="auto"/>
            </w:rPr>
            <w:instrText xml:space="preserve"> PAGEREF _Toc21270 \h </w:instrText>
          </w:r>
          <w:r>
            <w:rPr>
              <w:color w:val="auto"/>
            </w:rPr>
            <w:fldChar w:fldCharType="separate"/>
          </w:r>
          <w:r>
            <w:rPr>
              <w:color w:val="auto"/>
            </w:rPr>
            <w:t>20</w:t>
          </w:r>
          <w:r>
            <w:rPr>
              <w:color w:val="auto"/>
            </w:rPr>
            <w:fldChar w:fldCharType="end"/>
          </w:r>
          <w:r>
            <w:rPr>
              <w:rFonts w:ascii="Arial" w:hAnsi="Arial" w:eastAsia="等线" w:cs="Arial"/>
              <w:bCs/>
              <w:color w:val="auto"/>
              <w:szCs w:val="32"/>
            </w:rPr>
            <w:fldChar w:fldCharType="end"/>
          </w:r>
        </w:p>
        <w:p w14:paraId="41BEB5AD">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_Toc27543 </w:instrText>
          </w:r>
          <w:r>
            <w:rPr>
              <w:rFonts w:ascii="Arial" w:hAnsi="Arial" w:eastAsia="等线" w:cs="Arial"/>
              <w:bCs/>
              <w:color w:val="auto"/>
              <w:szCs w:val="32"/>
            </w:rPr>
            <w:fldChar w:fldCharType="separate"/>
          </w:r>
          <w:r>
            <w:rPr>
              <w:color w:val="auto"/>
            </w:rPr>
            <w:t>7.1.1 安全评估</w:t>
          </w:r>
          <w:r>
            <w:rPr>
              <w:color w:val="auto"/>
            </w:rPr>
            <w:tab/>
          </w:r>
          <w:r>
            <w:rPr>
              <w:color w:val="auto"/>
            </w:rPr>
            <w:fldChar w:fldCharType="begin"/>
          </w:r>
          <w:r>
            <w:rPr>
              <w:color w:val="auto"/>
            </w:rPr>
            <w:instrText xml:space="preserve"> PAGEREF _Toc27543 \h </w:instrText>
          </w:r>
          <w:r>
            <w:rPr>
              <w:color w:val="auto"/>
            </w:rPr>
            <w:fldChar w:fldCharType="separate"/>
          </w:r>
          <w:r>
            <w:rPr>
              <w:color w:val="auto"/>
            </w:rPr>
            <w:t>20</w:t>
          </w:r>
          <w:r>
            <w:rPr>
              <w:color w:val="auto"/>
            </w:rPr>
            <w:fldChar w:fldCharType="end"/>
          </w:r>
          <w:r>
            <w:rPr>
              <w:rFonts w:ascii="Arial" w:hAnsi="Arial" w:eastAsia="等线" w:cs="Arial"/>
              <w:bCs/>
              <w:color w:val="auto"/>
              <w:szCs w:val="32"/>
            </w:rPr>
            <w:fldChar w:fldCharType="end"/>
          </w:r>
        </w:p>
        <w:p w14:paraId="24774197">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_Toc6789 </w:instrText>
          </w:r>
          <w:r>
            <w:rPr>
              <w:rFonts w:ascii="Arial" w:hAnsi="Arial" w:eastAsia="等线" w:cs="Arial"/>
              <w:bCs/>
              <w:color w:val="auto"/>
              <w:szCs w:val="32"/>
            </w:rPr>
            <w:fldChar w:fldCharType="separate"/>
          </w:r>
          <w:r>
            <w:rPr>
              <w:color w:val="auto"/>
            </w:rPr>
            <w:t>7.1.2 安全方案设计</w:t>
          </w:r>
          <w:r>
            <w:rPr>
              <w:color w:val="auto"/>
            </w:rPr>
            <w:tab/>
          </w:r>
          <w:r>
            <w:rPr>
              <w:color w:val="auto"/>
            </w:rPr>
            <w:fldChar w:fldCharType="begin"/>
          </w:r>
          <w:r>
            <w:rPr>
              <w:color w:val="auto"/>
            </w:rPr>
            <w:instrText xml:space="preserve"> PAGEREF _Toc6789 \h </w:instrText>
          </w:r>
          <w:r>
            <w:rPr>
              <w:color w:val="auto"/>
            </w:rPr>
            <w:fldChar w:fldCharType="separate"/>
          </w:r>
          <w:r>
            <w:rPr>
              <w:color w:val="auto"/>
            </w:rPr>
            <w:t>21</w:t>
          </w:r>
          <w:r>
            <w:rPr>
              <w:color w:val="auto"/>
            </w:rPr>
            <w:fldChar w:fldCharType="end"/>
          </w:r>
          <w:r>
            <w:rPr>
              <w:rFonts w:ascii="Arial" w:hAnsi="Arial" w:eastAsia="等线" w:cs="Arial"/>
              <w:bCs/>
              <w:color w:val="auto"/>
              <w:szCs w:val="32"/>
            </w:rPr>
            <w:fldChar w:fldCharType="end"/>
          </w:r>
        </w:p>
        <w:p w14:paraId="1F5A0023">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_Toc7001 </w:instrText>
          </w:r>
          <w:r>
            <w:rPr>
              <w:rFonts w:ascii="Arial" w:hAnsi="Arial" w:eastAsia="等线" w:cs="Arial"/>
              <w:bCs/>
              <w:color w:val="auto"/>
              <w:szCs w:val="32"/>
            </w:rPr>
            <w:fldChar w:fldCharType="separate"/>
          </w:r>
          <w:r>
            <w:rPr>
              <w:color w:val="auto"/>
            </w:rPr>
            <w:t>7.2 信息化安全运维管理</w:t>
          </w:r>
          <w:r>
            <w:rPr>
              <w:color w:val="auto"/>
            </w:rPr>
            <w:tab/>
          </w:r>
          <w:r>
            <w:rPr>
              <w:color w:val="auto"/>
            </w:rPr>
            <w:fldChar w:fldCharType="begin"/>
          </w:r>
          <w:r>
            <w:rPr>
              <w:color w:val="auto"/>
            </w:rPr>
            <w:instrText xml:space="preserve"> PAGEREF _Toc7001 \h </w:instrText>
          </w:r>
          <w:r>
            <w:rPr>
              <w:color w:val="auto"/>
            </w:rPr>
            <w:fldChar w:fldCharType="separate"/>
          </w:r>
          <w:r>
            <w:rPr>
              <w:color w:val="auto"/>
            </w:rPr>
            <w:t>21</w:t>
          </w:r>
          <w:r>
            <w:rPr>
              <w:color w:val="auto"/>
            </w:rPr>
            <w:fldChar w:fldCharType="end"/>
          </w:r>
          <w:r>
            <w:rPr>
              <w:rFonts w:ascii="Arial" w:hAnsi="Arial" w:eastAsia="等线" w:cs="Arial"/>
              <w:bCs/>
              <w:color w:val="auto"/>
              <w:szCs w:val="32"/>
            </w:rPr>
            <w:fldChar w:fldCharType="end"/>
          </w:r>
        </w:p>
        <w:p w14:paraId="382E2475">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_Toc19255 </w:instrText>
          </w:r>
          <w:r>
            <w:rPr>
              <w:rFonts w:ascii="Arial" w:hAnsi="Arial" w:eastAsia="等线" w:cs="Arial"/>
              <w:bCs/>
              <w:color w:val="auto"/>
              <w:szCs w:val="32"/>
            </w:rPr>
            <w:fldChar w:fldCharType="separate"/>
          </w:r>
          <w:r>
            <w:rPr>
              <w:color w:val="auto"/>
            </w:rPr>
            <w:t>7.2.1 网络安全管理</w:t>
          </w:r>
          <w:r>
            <w:rPr>
              <w:color w:val="auto"/>
            </w:rPr>
            <w:tab/>
          </w:r>
          <w:r>
            <w:rPr>
              <w:color w:val="auto"/>
            </w:rPr>
            <w:fldChar w:fldCharType="begin"/>
          </w:r>
          <w:r>
            <w:rPr>
              <w:color w:val="auto"/>
            </w:rPr>
            <w:instrText xml:space="preserve"> PAGEREF _Toc19255 \h </w:instrText>
          </w:r>
          <w:r>
            <w:rPr>
              <w:color w:val="auto"/>
            </w:rPr>
            <w:fldChar w:fldCharType="separate"/>
          </w:r>
          <w:r>
            <w:rPr>
              <w:color w:val="auto"/>
            </w:rPr>
            <w:t>21</w:t>
          </w:r>
          <w:r>
            <w:rPr>
              <w:color w:val="auto"/>
            </w:rPr>
            <w:fldChar w:fldCharType="end"/>
          </w:r>
          <w:r>
            <w:rPr>
              <w:rFonts w:ascii="Arial" w:hAnsi="Arial" w:eastAsia="等线" w:cs="Arial"/>
              <w:bCs/>
              <w:color w:val="auto"/>
              <w:szCs w:val="32"/>
            </w:rPr>
            <w:fldChar w:fldCharType="end"/>
          </w:r>
        </w:p>
        <w:p w14:paraId="60CBF0FE">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_Toc21250 </w:instrText>
          </w:r>
          <w:r>
            <w:rPr>
              <w:rFonts w:ascii="Arial" w:hAnsi="Arial" w:eastAsia="等线" w:cs="Arial"/>
              <w:bCs/>
              <w:color w:val="auto"/>
              <w:szCs w:val="32"/>
            </w:rPr>
            <w:fldChar w:fldCharType="separate"/>
          </w:r>
          <w:r>
            <w:rPr>
              <w:color w:val="auto"/>
            </w:rPr>
            <w:t>7.2.2 数据安全管理</w:t>
          </w:r>
          <w:r>
            <w:rPr>
              <w:color w:val="auto"/>
            </w:rPr>
            <w:tab/>
          </w:r>
          <w:r>
            <w:rPr>
              <w:color w:val="auto"/>
            </w:rPr>
            <w:fldChar w:fldCharType="begin"/>
          </w:r>
          <w:r>
            <w:rPr>
              <w:color w:val="auto"/>
            </w:rPr>
            <w:instrText xml:space="preserve"> PAGEREF _Toc21250 \h </w:instrText>
          </w:r>
          <w:r>
            <w:rPr>
              <w:color w:val="auto"/>
            </w:rPr>
            <w:fldChar w:fldCharType="separate"/>
          </w:r>
          <w:r>
            <w:rPr>
              <w:color w:val="auto"/>
            </w:rPr>
            <w:t>21</w:t>
          </w:r>
          <w:r>
            <w:rPr>
              <w:color w:val="auto"/>
            </w:rPr>
            <w:fldChar w:fldCharType="end"/>
          </w:r>
          <w:r>
            <w:rPr>
              <w:rFonts w:ascii="Arial" w:hAnsi="Arial" w:eastAsia="等线" w:cs="Arial"/>
              <w:bCs/>
              <w:color w:val="auto"/>
              <w:szCs w:val="32"/>
            </w:rPr>
            <w:fldChar w:fldCharType="end"/>
          </w:r>
        </w:p>
        <w:p w14:paraId="4CB99349">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_Toc10783 </w:instrText>
          </w:r>
          <w:r>
            <w:rPr>
              <w:rFonts w:ascii="Arial" w:hAnsi="Arial" w:eastAsia="等线" w:cs="Arial"/>
              <w:bCs/>
              <w:color w:val="auto"/>
              <w:szCs w:val="32"/>
            </w:rPr>
            <w:fldChar w:fldCharType="separate"/>
          </w:r>
          <w:r>
            <w:rPr>
              <w:color w:val="auto"/>
            </w:rPr>
            <w:t>7.2.3 设备安全管理</w:t>
          </w:r>
          <w:r>
            <w:rPr>
              <w:color w:val="auto"/>
            </w:rPr>
            <w:tab/>
          </w:r>
          <w:r>
            <w:rPr>
              <w:color w:val="auto"/>
            </w:rPr>
            <w:fldChar w:fldCharType="begin"/>
          </w:r>
          <w:r>
            <w:rPr>
              <w:color w:val="auto"/>
            </w:rPr>
            <w:instrText xml:space="preserve"> PAGEREF _Toc10783 \h </w:instrText>
          </w:r>
          <w:r>
            <w:rPr>
              <w:color w:val="auto"/>
            </w:rPr>
            <w:fldChar w:fldCharType="separate"/>
          </w:r>
          <w:r>
            <w:rPr>
              <w:color w:val="auto"/>
            </w:rPr>
            <w:t>22</w:t>
          </w:r>
          <w:r>
            <w:rPr>
              <w:color w:val="auto"/>
            </w:rPr>
            <w:fldChar w:fldCharType="end"/>
          </w:r>
          <w:r>
            <w:rPr>
              <w:rFonts w:ascii="Arial" w:hAnsi="Arial" w:eastAsia="等线" w:cs="Arial"/>
              <w:bCs/>
              <w:color w:val="auto"/>
              <w:szCs w:val="32"/>
            </w:rPr>
            <w:fldChar w:fldCharType="end"/>
          </w:r>
        </w:p>
        <w:p w14:paraId="61009003">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_Toc31546 </w:instrText>
          </w:r>
          <w:r>
            <w:rPr>
              <w:rFonts w:ascii="Arial" w:hAnsi="Arial" w:eastAsia="等线" w:cs="Arial"/>
              <w:bCs/>
              <w:color w:val="auto"/>
              <w:szCs w:val="32"/>
            </w:rPr>
            <w:fldChar w:fldCharType="separate"/>
          </w:r>
          <w:r>
            <w:rPr>
              <w:color w:val="auto"/>
            </w:rPr>
            <w:t>7.3 信息安全检测与应急响应</w:t>
          </w:r>
          <w:r>
            <w:rPr>
              <w:color w:val="auto"/>
            </w:rPr>
            <w:tab/>
          </w:r>
          <w:r>
            <w:rPr>
              <w:color w:val="auto"/>
            </w:rPr>
            <w:fldChar w:fldCharType="begin"/>
          </w:r>
          <w:r>
            <w:rPr>
              <w:color w:val="auto"/>
            </w:rPr>
            <w:instrText xml:space="preserve"> PAGEREF _Toc31546 \h </w:instrText>
          </w:r>
          <w:r>
            <w:rPr>
              <w:color w:val="auto"/>
            </w:rPr>
            <w:fldChar w:fldCharType="separate"/>
          </w:r>
          <w:r>
            <w:rPr>
              <w:color w:val="auto"/>
            </w:rPr>
            <w:t>22</w:t>
          </w:r>
          <w:r>
            <w:rPr>
              <w:color w:val="auto"/>
            </w:rPr>
            <w:fldChar w:fldCharType="end"/>
          </w:r>
          <w:r>
            <w:rPr>
              <w:rFonts w:ascii="Arial" w:hAnsi="Arial" w:eastAsia="等线" w:cs="Arial"/>
              <w:bCs/>
              <w:color w:val="auto"/>
              <w:szCs w:val="32"/>
            </w:rPr>
            <w:fldChar w:fldCharType="end"/>
          </w:r>
        </w:p>
        <w:p w14:paraId="04C55776">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_Toc24261 </w:instrText>
          </w:r>
          <w:r>
            <w:rPr>
              <w:rFonts w:ascii="Arial" w:hAnsi="Arial" w:eastAsia="等线" w:cs="Arial"/>
              <w:bCs/>
              <w:color w:val="auto"/>
              <w:szCs w:val="32"/>
            </w:rPr>
            <w:fldChar w:fldCharType="separate"/>
          </w:r>
          <w:r>
            <w:rPr>
              <w:color w:val="auto"/>
            </w:rPr>
            <w:t>7.3.1 定期检测</w:t>
          </w:r>
          <w:r>
            <w:rPr>
              <w:color w:val="auto"/>
            </w:rPr>
            <w:tab/>
          </w:r>
          <w:r>
            <w:rPr>
              <w:color w:val="auto"/>
            </w:rPr>
            <w:fldChar w:fldCharType="begin"/>
          </w:r>
          <w:r>
            <w:rPr>
              <w:color w:val="auto"/>
            </w:rPr>
            <w:instrText xml:space="preserve"> PAGEREF _Toc24261 \h </w:instrText>
          </w:r>
          <w:r>
            <w:rPr>
              <w:color w:val="auto"/>
            </w:rPr>
            <w:fldChar w:fldCharType="separate"/>
          </w:r>
          <w:r>
            <w:rPr>
              <w:color w:val="auto"/>
            </w:rPr>
            <w:t>22</w:t>
          </w:r>
          <w:r>
            <w:rPr>
              <w:color w:val="auto"/>
            </w:rPr>
            <w:fldChar w:fldCharType="end"/>
          </w:r>
          <w:r>
            <w:rPr>
              <w:rFonts w:ascii="Arial" w:hAnsi="Arial" w:eastAsia="等线" w:cs="Arial"/>
              <w:bCs/>
              <w:color w:val="auto"/>
              <w:szCs w:val="32"/>
            </w:rPr>
            <w:fldChar w:fldCharType="end"/>
          </w:r>
        </w:p>
        <w:p w14:paraId="4EA1D2D4">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_Toc24827 </w:instrText>
          </w:r>
          <w:r>
            <w:rPr>
              <w:rFonts w:ascii="Arial" w:hAnsi="Arial" w:eastAsia="等线" w:cs="Arial"/>
              <w:bCs/>
              <w:color w:val="auto"/>
              <w:szCs w:val="32"/>
            </w:rPr>
            <w:fldChar w:fldCharType="separate"/>
          </w:r>
          <w:r>
            <w:rPr>
              <w:color w:val="auto"/>
            </w:rPr>
            <w:t>7.3.2 应急预案</w:t>
          </w:r>
          <w:r>
            <w:rPr>
              <w:color w:val="auto"/>
            </w:rPr>
            <w:tab/>
          </w:r>
          <w:r>
            <w:rPr>
              <w:color w:val="auto"/>
            </w:rPr>
            <w:fldChar w:fldCharType="begin"/>
          </w:r>
          <w:r>
            <w:rPr>
              <w:color w:val="auto"/>
            </w:rPr>
            <w:instrText xml:space="preserve"> PAGEREF _Toc24827 \h </w:instrText>
          </w:r>
          <w:r>
            <w:rPr>
              <w:color w:val="auto"/>
            </w:rPr>
            <w:fldChar w:fldCharType="separate"/>
          </w:r>
          <w:r>
            <w:rPr>
              <w:color w:val="auto"/>
            </w:rPr>
            <w:t>22</w:t>
          </w:r>
          <w:r>
            <w:rPr>
              <w:color w:val="auto"/>
            </w:rPr>
            <w:fldChar w:fldCharType="end"/>
          </w:r>
          <w:r>
            <w:rPr>
              <w:rFonts w:ascii="Arial" w:hAnsi="Arial" w:eastAsia="等线" w:cs="Arial"/>
              <w:bCs/>
              <w:color w:val="auto"/>
              <w:szCs w:val="32"/>
            </w:rPr>
            <w:fldChar w:fldCharType="end"/>
          </w:r>
        </w:p>
        <w:p w14:paraId="61C7E185">
          <w:pPr>
            <w:pStyle w:val="11"/>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_Toc32644 </w:instrText>
          </w:r>
          <w:r>
            <w:rPr>
              <w:rFonts w:ascii="Arial" w:hAnsi="Arial" w:eastAsia="等线" w:cs="Arial"/>
              <w:bCs/>
              <w:color w:val="auto"/>
              <w:szCs w:val="32"/>
            </w:rPr>
            <w:fldChar w:fldCharType="separate"/>
          </w:r>
          <w:r>
            <w:rPr>
              <w:color w:val="auto"/>
            </w:rPr>
            <w:t>八、商业秘密法律保护与争议解决</w:t>
          </w:r>
          <w:r>
            <w:rPr>
              <w:color w:val="auto"/>
            </w:rPr>
            <w:tab/>
          </w:r>
          <w:r>
            <w:rPr>
              <w:color w:val="auto"/>
            </w:rPr>
            <w:fldChar w:fldCharType="begin"/>
          </w:r>
          <w:r>
            <w:rPr>
              <w:color w:val="auto"/>
            </w:rPr>
            <w:instrText xml:space="preserve"> PAGEREF _Toc32644 \h </w:instrText>
          </w:r>
          <w:r>
            <w:rPr>
              <w:color w:val="auto"/>
            </w:rPr>
            <w:fldChar w:fldCharType="separate"/>
          </w:r>
          <w:r>
            <w:rPr>
              <w:color w:val="auto"/>
            </w:rPr>
            <w:t>23</w:t>
          </w:r>
          <w:r>
            <w:rPr>
              <w:color w:val="auto"/>
            </w:rPr>
            <w:fldChar w:fldCharType="end"/>
          </w:r>
          <w:r>
            <w:rPr>
              <w:rFonts w:ascii="Arial" w:hAnsi="Arial" w:eastAsia="等线" w:cs="Arial"/>
              <w:bCs/>
              <w:color w:val="auto"/>
              <w:szCs w:val="32"/>
            </w:rPr>
            <w:fldChar w:fldCharType="end"/>
          </w:r>
        </w:p>
        <w:p w14:paraId="4C62A424">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_Toc29018 </w:instrText>
          </w:r>
          <w:r>
            <w:rPr>
              <w:rFonts w:ascii="Arial" w:hAnsi="Arial" w:eastAsia="等线" w:cs="Arial"/>
              <w:bCs/>
              <w:color w:val="auto"/>
              <w:szCs w:val="32"/>
            </w:rPr>
            <w:fldChar w:fldCharType="separate"/>
          </w:r>
          <w:r>
            <w:rPr>
              <w:color w:val="auto"/>
            </w:rPr>
            <w:t>8.1 前置性法律保护措施</w:t>
          </w:r>
          <w:r>
            <w:rPr>
              <w:color w:val="auto"/>
            </w:rPr>
            <w:tab/>
          </w:r>
          <w:r>
            <w:rPr>
              <w:color w:val="auto"/>
            </w:rPr>
            <w:fldChar w:fldCharType="begin"/>
          </w:r>
          <w:r>
            <w:rPr>
              <w:color w:val="auto"/>
            </w:rPr>
            <w:instrText xml:space="preserve"> PAGEREF _Toc29018 \h </w:instrText>
          </w:r>
          <w:r>
            <w:rPr>
              <w:color w:val="auto"/>
            </w:rPr>
            <w:fldChar w:fldCharType="separate"/>
          </w:r>
          <w:r>
            <w:rPr>
              <w:color w:val="auto"/>
            </w:rPr>
            <w:t>23</w:t>
          </w:r>
          <w:r>
            <w:rPr>
              <w:color w:val="auto"/>
            </w:rPr>
            <w:fldChar w:fldCharType="end"/>
          </w:r>
          <w:r>
            <w:rPr>
              <w:rFonts w:ascii="Arial" w:hAnsi="Arial" w:eastAsia="等线" w:cs="Arial"/>
              <w:bCs/>
              <w:color w:val="auto"/>
              <w:szCs w:val="32"/>
            </w:rPr>
            <w:fldChar w:fldCharType="end"/>
          </w:r>
        </w:p>
        <w:p w14:paraId="128F316E">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_Toc15541 </w:instrText>
          </w:r>
          <w:r>
            <w:rPr>
              <w:rFonts w:ascii="Arial" w:hAnsi="Arial" w:eastAsia="等线" w:cs="Arial"/>
              <w:bCs/>
              <w:color w:val="auto"/>
              <w:szCs w:val="32"/>
            </w:rPr>
            <w:fldChar w:fldCharType="separate"/>
          </w:r>
          <w:r>
            <w:rPr>
              <w:color w:val="auto"/>
            </w:rPr>
            <w:t>8.1.1 合同保护</w:t>
          </w:r>
          <w:r>
            <w:rPr>
              <w:color w:val="auto"/>
            </w:rPr>
            <w:tab/>
          </w:r>
          <w:r>
            <w:rPr>
              <w:color w:val="auto"/>
            </w:rPr>
            <w:fldChar w:fldCharType="begin"/>
          </w:r>
          <w:r>
            <w:rPr>
              <w:color w:val="auto"/>
            </w:rPr>
            <w:instrText xml:space="preserve"> PAGEREF _Toc15541 \h </w:instrText>
          </w:r>
          <w:r>
            <w:rPr>
              <w:color w:val="auto"/>
            </w:rPr>
            <w:fldChar w:fldCharType="separate"/>
          </w:r>
          <w:r>
            <w:rPr>
              <w:color w:val="auto"/>
            </w:rPr>
            <w:t>23</w:t>
          </w:r>
          <w:r>
            <w:rPr>
              <w:color w:val="auto"/>
            </w:rPr>
            <w:fldChar w:fldCharType="end"/>
          </w:r>
          <w:r>
            <w:rPr>
              <w:rFonts w:ascii="Arial" w:hAnsi="Arial" w:eastAsia="等线" w:cs="Arial"/>
              <w:bCs/>
              <w:color w:val="auto"/>
              <w:szCs w:val="32"/>
            </w:rPr>
            <w:fldChar w:fldCharType="end"/>
          </w:r>
        </w:p>
        <w:p w14:paraId="66BAD6DB">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_Toc7290 </w:instrText>
          </w:r>
          <w:r>
            <w:rPr>
              <w:rFonts w:ascii="Arial" w:hAnsi="Arial" w:eastAsia="等线" w:cs="Arial"/>
              <w:bCs/>
              <w:color w:val="auto"/>
              <w:szCs w:val="32"/>
            </w:rPr>
            <w:fldChar w:fldCharType="separate"/>
          </w:r>
          <w:r>
            <w:rPr>
              <w:color w:val="auto"/>
            </w:rPr>
            <w:t>8.1.2 证据固定</w:t>
          </w:r>
          <w:r>
            <w:rPr>
              <w:color w:val="auto"/>
            </w:rPr>
            <w:tab/>
          </w:r>
          <w:r>
            <w:rPr>
              <w:color w:val="auto"/>
            </w:rPr>
            <w:fldChar w:fldCharType="begin"/>
          </w:r>
          <w:r>
            <w:rPr>
              <w:color w:val="auto"/>
            </w:rPr>
            <w:instrText xml:space="preserve"> PAGEREF _Toc7290 \h </w:instrText>
          </w:r>
          <w:r>
            <w:rPr>
              <w:color w:val="auto"/>
            </w:rPr>
            <w:fldChar w:fldCharType="separate"/>
          </w:r>
          <w:r>
            <w:rPr>
              <w:color w:val="auto"/>
            </w:rPr>
            <w:t>23</w:t>
          </w:r>
          <w:r>
            <w:rPr>
              <w:color w:val="auto"/>
            </w:rPr>
            <w:fldChar w:fldCharType="end"/>
          </w:r>
          <w:r>
            <w:rPr>
              <w:rFonts w:ascii="Arial" w:hAnsi="Arial" w:eastAsia="等线" w:cs="Arial"/>
              <w:bCs/>
              <w:color w:val="auto"/>
              <w:szCs w:val="32"/>
            </w:rPr>
            <w:fldChar w:fldCharType="end"/>
          </w:r>
        </w:p>
        <w:p w14:paraId="466C8C3A">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_Toc2653 </w:instrText>
          </w:r>
          <w:r>
            <w:rPr>
              <w:rFonts w:ascii="Arial" w:hAnsi="Arial" w:eastAsia="等线" w:cs="Arial"/>
              <w:bCs/>
              <w:color w:val="auto"/>
              <w:szCs w:val="32"/>
            </w:rPr>
            <w:fldChar w:fldCharType="separate"/>
          </w:r>
          <w:r>
            <w:rPr>
              <w:color w:val="auto"/>
            </w:rPr>
            <w:t>8.1.3 风险预警</w:t>
          </w:r>
          <w:r>
            <w:rPr>
              <w:color w:val="auto"/>
            </w:rPr>
            <w:tab/>
          </w:r>
          <w:r>
            <w:rPr>
              <w:color w:val="auto"/>
            </w:rPr>
            <w:fldChar w:fldCharType="begin"/>
          </w:r>
          <w:r>
            <w:rPr>
              <w:color w:val="auto"/>
            </w:rPr>
            <w:instrText xml:space="preserve"> PAGEREF _Toc2653 \h </w:instrText>
          </w:r>
          <w:r>
            <w:rPr>
              <w:color w:val="auto"/>
            </w:rPr>
            <w:fldChar w:fldCharType="separate"/>
          </w:r>
          <w:r>
            <w:rPr>
              <w:color w:val="auto"/>
            </w:rPr>
            <w:t>23</w:t>
          </w:r>
          <w:r>
            <w:rPr>
              <w:color w:val="auto"/>
            </w:rPr>
            <w:fldChar w:fldCharType="end"/>
          </w:r>
          <w:r>
            <w:rPr>
              <w:rFonts w:ascii="Arial" w:hAnsi="Arial" w:eastAsia="等线" w:cs="Arial"/>
              <w:bCs/>
              <w:color w:val="auto"/>
              <w:szCs w:val="32"/>
            </w:rPr>
            <w:fldChar w:fldCharType="end"/>
          </w:r>
        </w:p>
        <w:p w14:paraId="39F73293">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_Toc24848 </w:instrText>
          </w:r>
          <w:r>
            <w:rPr>
              <w:rFonts w:ascii="Arial" w:hAnsi="Arial" w:eastAsia="等线" w:cs="Arial"/>
              <w:bCs/>
              <w:color w:val="auto"/>
              <w:szCs w:val="32"/>
            </w:rPr>
            <w:fldChar w:fldCharType="separate"/>
          </w:r>
          <w:r>
            <w:rPr>
              <w:color w:val="auto"/>
            </w:rPr>
            <w:t>8.2 泄密事件应对机制</w:t>
          </w:r>
          <w:r>
            <w:rPr>
              <w:color w:val="auto"/>
            </w:rPr>
            <w:tab/>
          </w:r>
          <w:r>
            <w:rPr>
              <w:color w:val="auto"/>
            </w:rPr>
            <w:fldChar w:fldCharType="begin"/>
          </w:r>
          <w:r>
            <w:rPr>
              <w:color w:val="auto"/>
            </w:rPr>
            <w:instrText xml:space="preserve"> PAGEREF _Toc24848 \h </w:instrText>
          </w:r>
          <w:r>
            <w:rPr>
              <w:color w:val="auto"/>
            </w:rPr>
            <w:fldChar w:fldCharType="separate"/>
          </w:r>
          <w:r>
            <w:rPr>
              <w:color w:val="auto"/>
            </w:rPr>
            <w:t>24</w:t>
          </w:r>
          <w:r>
            <w:rPr>
              <w:color w:val="auto"/>
            </w:rPr>
            <w:fldChar w:fldCharType="end"/>
          </w:r>
          <w:r>
            <w:rPr>
              <w:rFonts w:ascii="Arial" w:hAnsi="Arial" w:eastAsia="等线" w:cs="Arial"/>
              <w:bCs/>
              <w:color w:val="auto"/>
              <w:szCs w:val="32"/>
            </w:rPr>
            <w:fldChar w:fldCharType="end"/>
          </w:r>
        </w:p>
        <w:p w14:paraId="0EA2AF08">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_Toc25617 </w:instrText>
          </w:r>
          <w:r>
            <w:rPr>
              <w:rFonts w:ascii="Arial" w:hAnsi="Arial" w:eastAsia="等线" w:cs="Arial"/>
              <w:bCs/>
              <w:color w:val="auto"/>
              <w:szCs w:val="32"/>
            </w:rPr>
            <w:fldChar w:fldCharType="separate"/>
          </w:r>
          <w:r>
            <w:rPr>
              <w:color w:val="auto"/>
            </w:rPr>
            <w:t>8.2.1 事件分级</w:t>
          </w:r>
          <w:r>
            <w:rPr>
              <w:color w:val="auto"/>
            </w:rPr>
            <w:tab/>
          </w:r>
          <w:r>
            <w:rPr>
              <w:color w:val="auto"/>
            </w:rPr>
            <w:fldChar w:fldCharType="begin"/>
          </w:r>
          <w:r>
            <w:rPr>
              <w:color w:val="auto"/>
            </w:rPr>
            <w:instrText xml:space="preserve"> PAGEREF _Toc25617 \h </w:instrText>
          </w:r>
          <w:r>
            <w:rPr>
              <w:color w:val="auto"/>
            </w:rPr>
            <w:fldChar w:fldCharType="separate"/>
          </w:r>
          <w:r>
            <w:rPr>
              <w:color w:val="auto"/>
            </w:rPr>
            <w:t>24</w:t>
          </w:r>
          <w:r>
            <w:rPr>
              <w:color w:val="auto"/>
            </w:rPr>
            <w:fldChar w:fldCharType="end"/>
          </w:r>
          <w:r>
            <w:rPr>
              <w:rFonts w:ascii="Arial" w:hAnsi="Arial" w:eastAsia="等线" w:cs="Arial"/>
              <w:bCs/>
              <w:color w:val="auto"/>
              <w:szCs w:val="32"/>
            </w:rPr>
            <w:fldChar w:fldCharType="end"/>
          </w:r>
        </w:p>
        <w:p w14:paraId="0B68D407">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_Toc19758 </w:instrText>
          </w:r>
          <w:r>
            <w:rPr>
              <w:rFonts w:ascii="Arial" w:hAnsi="Arial" w:eastAsia="等线" w:cs="Arial"/>
              <w:bCs/>
              <w:color w:val="auto"/>
              <w:szCs w:val="32"/>
            </w:rPr>
            <w:fldChar w:fldCharType="separate"/>
          </w:r>
          <w:r>
            <w:rPr>
              <w:color w:val="auto"/>
            </w:rPr>
            <w:t>8.2.2 响应流程</w:t>
          </w:r>
          <w:r>
            <w:rPr>
              <w:color w:val="auto"/>
            </w:rPr>
            <w:tab/>
          </w:r>
          <w:r>
            <w:rPr>
              <w:color w:val="auto"/>
            </w:rPr>
            <w:fldChar w:fldCharType="begin"/>
          </w:r>
          <w:r>
            <w:rPr>
              <w:color w:val="auto"/>
            </w:rPr>
            <w:instrText xml:space="preserve"> PAGEREF _Toc19758 \h </w:instrText>
          </w:r>
          <w:r>
            <w:rPr>
              <w:color w:val="auto"/>
            </w:rPr>
            <w:fldChar w:fldCharType="separate"/>
          </w:r>
          <w:r>
            <w:rPr>
              <w:color w:val="auto"/>
            </w:rPr>
            <w:t>24</w:t>
          </w:r>
          <w:r>
            <w:rPr>
              <w:color w:val="auto"/>
            </w:rPr>
            <w:fldChar w:fldCharType="end"/>
          </w:r>
          <w:r>
            <w:rPr>
              <w:rFonts w:ascii="Arial" w:hAnsi="Arial" w:eastAsia="等线" w:cs="Arial"/>
              <w:bCs/>
              <w:color w:val="auto"/>
              <w:szCs w:val="32"/>
            </w:rPr>
            <w:fldChar w:fldCharType="end"/>
          </w:r>
        </w:p>
        <w:p w14:paraId="5F9399D1">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_Toc25900 </w:instrText>
          </w:r>
          <w:r>
            <w:rPr>
              <w:rFonts w:ascii="Arial" w:hAnsi="Arial" w:eastAsia="等线" w:cs="Arial"/>
              <w:bCs/>
              <w:color w:val="auto"/>
              <w:szCs w:val="32"/>
            </w:rPr>
            <w:fldChar w:fldCharType="separate"/>
          </w:r>
          <w:r>
            <w:rPr>
              <w:color w:val="auto"/>
            </w:rPr>
            <w:t>8.3 争议解决途径</w:t>
          </w:r>
          <w:r>
            <w:rPr>
              <w:color w:val="auto"/>
            </w:rPr>
            <w:tab/>
          </w:r>
          <w:r>
            <w:rPr>
              <w:color w:val="auto"/>
            </w:rPr>
            <w:fldChar w:fldCharType="begin"/>
          </w:r>
          <w:r>
            <w:rPr>
              <w:color w:val="auto"/>
            </w:rPr>
            <w:instrText xml:space="preserve"> PAGEREF _Toc25900 \h </w:instrText>
          </w:r>
          <w:r>
            <w:rPr>
              <w:color w:val="auto"/>
            </w:rPr>
            <w:fldChar w:fldCharType="separate"/>
          </w:r>
          <w:r>
            <w:rPr>
              <w:color w:val="auto"/>
            </w:rPr>
            <w:t>24</w:t>
          </w:r>
          <w:r>
            <w:rPr>
              <w:color w:val="auto"/>
            </w:rPr>
            <w:fldChar w:fldCharType="end"/>
          </w:r>
          <w:r>
            <w:rPr>
              <w:rFonts w:ascii="Arial" w:hAnsi="Arial" w:eastAsia="等线" w:cs="Arial"/>
              <w:bCs/>
              <w:color w:val="auto"/>
              <w:szCs w:val="32"/>
            </w:rPr>
            <w:fldChar w:fldCharType="end"/>
          </w:r>
        </w:p>
        <w:p w14:paraId="54E4588F">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_Toc26148 </w:instrText>
          </w:r>
          <w:r>
            <w:rPr>
              <w:rFonts w:ascii="Arial" w:hAnsi="Arial" w:eastAsia="等线" w:cs="Arial"/>
              <w:bCs/>
              <w:color w:val="auto"/>
              <w:szCs w:val="32"/>
            </w:rPr>
            <w:fldChar w:fldCharType="separate"/>
          </w:r>
          <w:r>
            <w:rPr>
              <w:color w:val="auto"/>
            </w:rPr>
            <w:t>8.3.1 行政途径</w:t>
          </w:r>
          <w:r>
            <w:rPr>
              <w:color w:val="auto"/>
            </w:rPr>
            <w:tab/>
          </w:r>
          <w:r>
            <w:rPr>
              <w:color w:val="auto"/>
            </w:rPr>
            <w:fldChar w:fldCharType="begin"/>
          </w:r>
          <w:r>
            <w:rPr>
              <w:color w:val="auto"/>
            </w:rPr>
            <w:instrText xml:space="preserve"> PAGEREF _Toc26148 \h </w:instrText>
          </w:r>
          <w:r>
            <w:rPr>
              <w:color w:val="auto"/>
            </w:rPr>
            <w:fldChar w:fldCharType="separate"/>
          </w:r>
          <w:r>
            <w:rPr>
              <w:color w:val="auto"/>
            </w:rPr>
            <w:t>24</w:t>
          </w:r>
          <w:r>
            <w:rPr>
              <w:color w:val="auto"/>
            </w:rPr>
            <w:fldChar w:fldCharType="end"/>
          </w:r>
          <w:r>
            <w:rPr>
              <w:rFonts w:ascii="Arial" w:hAnsi="Arial" w:eastAsia="等线" w:cs="Arial"/>
              <w:bCs/>
              <w:color w:val="auto"/>
              <w:szCs w:val="32"/>
            </w:rPr>
            <w:fldChar w:fldCharType="end"/>
          </w:r>
        </w:p>
        <w:p w14:paraId="0F2575C2">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_Toc32656 </w:instrText>
          </w:r>
          <w:r>
            <w:rPr>
              <w:rFonts w:ascii="Arial" w:hAnsi="Arial" w:eastAsia="等线" w:cs="Arial"/>
              <w:bCs/>
              <w:color w:val="auto"/>
              <w:szCs w:val="32"/>
            </w:rPr>
            <w:fldChar w:fldCharType="separate"/>
          </w:r>
          <w:r>
            <w:rPr>
              <w:color w:val="auto"/>
            </w:rPr>
            <w:t>8.3.2 民事途径</w:t>
          </w:r>
          <w:r>
            <w:rPr>
              <w:color w:val="auto"/>
            </w:rPr>
            <w:tab/>
          </w:r>
          <w:r>
            <w:rPr>
              <w:color w:val="auto"/>
            </w:rPr>
            <w:fldChar w:fldCharType="begin"/>
          </w:r>
          <w:r>
            <w:rPr>
              <w:color w:val="auto"/>
            </w:rPr>
            <w:instrText xml:space="preserve"> PAGEREF _Toc32656 \h </w:instrText>
          </w:r>
          <w:r>
            <w:rPr>
              <w:color w:val="auto"/>
            </w:rPr>
            <w:fldChar w:fldCharType="separate"/>
          </w:r>
          <w:r>
            <w:rPr>
              <w:color w:val="auto"/>
            </w:rPr>
            <w:t>25</w:t>
          </w:r>
          <w:r>
            <w:rPr>
              <w:color w:val="auto"/>
            </w:rPr>
            <w:fldChar w:fldCharType="end"/>
          </w:r>
          <w:r>
            <w:rPr>
              <w:rFonts w:ascii="Arial" w:hAnsi="Arial" w:eastAsia="等线" w:cs="Arial"/>
              <w:bCs/>
              <w:color w:val="auto"/>
              <w:szCs w:val="32"/>
            </w:rPr>
            <w:fldChar w:fldCharType="end"/>
          </w:r>
        </w:p>
        <w:p w14:paraId="0B554A44">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_Toc14528 </w:instrText>
          </w:r>
          <w:r>
            <w:rPr>
              <w:rFonts w:ascii="Arial" w:hAnsi="Arial" w:eastAsia="等线" w:cs="Arial"/>
              <w:bCs/>
              <w:color w:val="auto"/>
              <w:szCs w:val="32"/>
            </w:rPr>
            <w:fldChar w:fldCharType="separate"/>
          </w:r>
          <w:r>
            <w:rPr>
              <w:color w:val="auto"/>
            </w:rPr>
            <w:t>8.3.3 刑事途径</w:t>
          </w:r>
          <w:r>
            <w:rPr>
              <w:color w:val="auto"/>
            </w:rPr>
            <w:tab/>
          </w:r>
          <w:r>
            <w:rPr>
              <w:color w:val="auto"/>
            </w:rPr>
            <w:fldChar w:fldCharType="begin"/>
          </w:r>
          <w:r>
            <w:rPr>
              <w:color w:val="auto"/>
            </w:rPr>
            <w:instrText xml:space="preserve"> PAGEREF _Toc14528 \h </w:instrText>
          </w:r>
          <w:r>
            <w:rPr>
              <w:color w:val="auto"/>
            </w:rPr>
            <w:fldChar w:fldCharType="separate"/>
          </w:r>
          <w:r>
            <w:rPr>
              <w:color w:val="auto"/>
            </w:rPr>
            <w:t>25</w:t>
          </w:r>
          <w:r>
            <w:rPr>
              <w:color w:val="auto"/>
            </w:rPr>
            <w:fldChar w:fldCharType="end"/>
          </w:r>
          <w:r>
            <w:rPr>
              <w:rFonts w:ascii="Arial" w:hAnsi="Arial" w:eastAsia="等线" w:cs="Arial"/>
              <w:bCs/>
              <w:color w:val="auto"/>
              <w:szCs w:val="32"/>
            </w:rPr>
            <w:fldChar w:fldCharType="end"/>
          </w:r>
        </w:p>
        <w:p w14:paraId="534C1E19">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_Toc11651 </w:instrText>
          </w:r>
          <w:r>
            <w:rPr>
              <w:rFonts w:ascii="Arial" w:hAnsi="Arial" w:eastAsia="等线" w:cs="Arial"/>
              <w:bCs/>
              <w:color w:val="auto"/>
              <w:szCs w:val="32"/>
            </w:rPr>
            <w:fldChar w:fldCharType="separate"/>
          </w:r>
          <w:r>
            <w:rPr>
              <w:color w:val="auto"/>
            </w:rPr>
            <w:t>8.4 商业秘密鉴定</w:t>
          </w:r>
          <w:r>
            <w:rPr>
              <w:color w:val="auto"/>
            </w:rPr>
            <w:tab/>
          </w:r>
          <w:r>
            <w:rPr>
              <w:color w:val="auto"/>
            </w:rPr>
            <w:fldChar w:fldCharType="begin"/>
          </w:r>
          <w:r>
            <w:rPr>
              <w:color w:val="auto"/>
            </w:rPr>
            <w:instrText xml:space="preserve"> PAGEREF _Toc11651 \h </w:instrText>
          </w:r>
          <w:r>
            <w:rPr>
              <w:color w:val="auto"/>
            </w:rPr>
            <w:fldChar w:fldCharType="separate"/>
          </w:r>
          <w:r>
            <w:rPr>
              <w:color w:val="auto"/>
            </w:rPr>
            <w:t>25</w:t>
          </w:r>
          <w:r>
            <w:rPr>
              <w:color w:val="auto"/>
            </w:rPr>
            <w:fldChar w:fldCharType="end"/>
          </w:r>
          <w:r>
            <w:rPr>
              <w:rFonts w:ascii="Arial" w:hAnsi="Arial" w:eastAsia="等线" w:cs="Arial"/>
              <w:bCs/>
              <w:color w:val="auto"/>
              <w:szCs w:val="32"/>
            </w:rPr>
            <w:fldChar w:fldCharType="end"/>
          </w:r>
        </w:p>
        <w:p w14:paraId="7C61027F">
          <w:pPr>
            <w:pStyle w:val="11"/>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_Toc7219 </w:instrText>
          </w:r>
          <w:r>
            <w:rPr>
              <w:rFonts w:ascii="Arial" w:hAnsi="Arial" w:eastAsia="等线" w:cs="Arial"/>
              <w:bCs/>
              <w:color w:val="auto"/>
              <w:szCs w:val="32"/>
            </w:rPr>
            <w:fldChar w:fldCharType="separate"/>
          </w:r>
          <w:r>
            <w:rPr>
              <w:color w:val="auto"/>
            </w:rPr>
            <w:t>九、涉外商业秘密保护</w:t>
          </w:r>
          <w:r>
            <w:rPr>
              <w:color w:val="auto"/>
            </w:rPr>
            <w:tab/>
          </w:r>
          <w:r>
            <w:rPr>
              <w:color w:val="auto"/>
            </w:rPr>
            <w:fldChar w:fldCharType="begin"/>
          </w:r>
          <w:r>
            <w:rPr>
              <w:color w:val="auto"/>
            </w:rPr>
            <w:instrText xml:space="preserve"> PAGEREF _Toc7219 \h </w:instrText>
          </w:r>
          <w:r>
            <w:rPr>
              <w:color w:val="auto"/>
            </w:rPr>
            <w:fldChar w:fldCharType="separate"/>
          </w:r>
          <w:r>
            <w:rPr>
              <w:color w:val="auto"/>
            </w:rPr>
            <w:t>26</w:t>
          </w:r>
          <w:r>
            <w:rPr>
              <w:color w:val="auto"/>
            </w:rPr>
            <w:fldChar w:fldCharType="end"/>
          </w:r>
          <w:r>
            <w:rPr>
              <w:rFonts w:ascii="Arial" w:hAnsi="Arial" w:eastAsia="等线" w:cs="Arial"/>
              <w:bCs/>
              <w:color w:val="auto"/>
              <w:szCs w:val="32"/>
            </w:rPr>
            <w:fldChar w:fldCharType="end"/>
          </w:r>
        </w:p>
        <w:p w14:paraId="447F6142">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_Toc8042 </w:instrText>
          </w:r>
          <w:r>
            <w:rPr>
              <w:rFonts w:ascii="Arial" w:hAnsi="Arial" w:eastAsia="等线" w:cs="Arial"/>
              <w:bCs/>
              <w:color w:val="auto"/>
              <w:szCs w:val="32"/>
            </w:rPr>
            <w:fldChar w:fldCharType="separate"/>
          </w:r>
          <w:r>
            <w:rPr>
              <w:color w:val="auto"/>
            </w:rPr>
            <w:t>9.1 涉外风险评估</w:t>
          </w:r>
          <w:r>
            <w:rPr>
              <w:color w:val="auto"/>
            </w:rPr>
            <w:tab/>
          </w:r>
          <w:r>
            <w:rPr>
              <w:color w:val="auto"/>
            </w:rPr>
            <w:fldChar w:fldCharType="begin"/>
          </w:r>
          <w:r>
            <w:rPr>
              <w:color w:val="auto"/>
            </w:rPr>
            <w:instrText xml:space="preserve"> PAGEREF _Toc8042 \h </w:instrText>
          </w:r>
          <w:r>
            <w:rPr>
              <w:color w:val="auto"/>
            </w:rPr>
            <w:fldChar w:fldCharType="separate"/>
          </w:r>
          <w:r>
            <w:rPr>
              <w:color w:val="auto"/>
            </w:rPr>
            <w:t>26</w:t>
          </w:r>
          <w:r>
            <w:rPr>
              <w:color w:val="auto"/>
            </w:rPr>
            <w:fldChar w:fldCharType="end"/>
          </w:r>
          <w:r>
            <w:rPr>
              <w:rFonts w:ascii="Arial" w:hAnsi="Arial" w:eastAsia="等线" w:cs="Arial"/>
              <w:bCs/>
              <w:color w:val="auto"/>
              <w:szCs w:val="32"/>
            </w:rPr>
            <w:fldChar w:fldCharType="end"/>
          </w:r>
        </w:p>
        <w:p w14:paraId="732731DB">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_Toc17756 </w:instrText>
          </w:r>
          <w:r>
            <w:rPr>
              <w:rFonts w:ascii="Arial" w:hAnsi="Arial" w:eastAsia="等线" w:cs="Arial"/>
              <w:bCs/>
              <w:color w:val="auto"/>
              <w:szCs w:val="32"/>
            </w:rPr>
            <w:fldChar w:fldCharType="separate"/>
          </w:r>
          <w:r>
            <w:rPr>
              <w:color w:val="auto"/>
            </w:rPr>
            <w:t>9.1.1 风险识别</w:t>
          </w:r>
          <w:r>
            <w:rPr>
              <w:color w:val="auto"/>
            </w:rPr>
            <w:tab/>
          </w:r>
          <w:r>
            <w:rPr>
              <w:color w:val="auto"/>
            </w:rPr>
            <w:fldChar w:fldCharType="begin"/>
          </w:r>
          <w:r>
            <w:rPr>
              <w:color w:val="auto"/>
            </w:rPr>
            <w:instrText xml:space="preserve"> PAGEREF _Toc17756 \h </w:instrText>
          </w:r>
          <w:r>
            <w:rPr>
              <w:color w:val="auto"/>
            </w:rPr>
            <w:fldChar w:fldCharType="separate"/>
          </w:r>
          <w:r>
            <w:rPr>
              <w:color w:val="auto"/>
            </w:rPr>
            <w:t>26</w:t>
          </w:r>
          <w:r>
            <w:rPr>
              <w:color w:val="auto"/>
            </w:rPr>
            <w:fldChar w:fldCharType="end"/>
          </w:r>
          <w:r>
            <w:rPr>
              <w:rFonts w:ascii="Arial" w:hAnsi="Arial" w:eastAsia="等线" w:cs="Arial"/>
              <w:bCs/>
              <w:color w:val="auto"/>
              <w:szCs w:val="32"/>
            </w:rPr>
            <w:fldChar w:fldCharType="end"/>
          </w:r>
        </w:p>
        <w:p w14:paraId="639CA8AF">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_Toc11380 </w:instrText>
          </w:r>
          <w:r>
            <w:rPr>
              <w:rFonts w:ascii="Arial" w:hAnsi="Arial" w:eastAsia="等线" w:cs="Arial"/>
              <w:bCs/>
              <w:color w:val="auto"/>
              <w:szCs w:val="32"/>
            </w:rPr>
            <w:fldChar w:fldCharType="separate"/>
          </w:r>
          <w:r>
            <w:rPr>
              <w:color w:val="auto"/>
            </w:rPr>
            <w:t>9.1.2 风险评估</w:t>
          </w:r>
          <w:r>
            <w:rPr>
              <w:color w:val="auto"/>
            </w:rPr>
            <w:tab/>
          </w:r>
          <w:r>
            <w:rPr>
              <w:color w:val="auto"/>
            </w:rPr>
            <w:fldChar w:fldCharType="begin"/>
          </w:r>
          <w:r>
            <w:rPr>
              <w:color w:val="auto"/>
            </w:rPr>
            <w:instrText xml:space="preserve"> PAGEREF _Toc11380 \h </w:instrText>
          </w:r>
          <w:r>
            <w:rPr>
              <w:color w:val="auto"/>
            </w:rPr>
            <w:fldChar w:fldCharType="separate"/>
          </w:r>
          <w:r>
            <w:rPr>
              <w:color w:val="auto"/>
            </w:rPr>
            <w:t>26</w:t>
          </w:r>
          <w:r>
            <w:rPr>
              <w:color w:val="auto"/>
            </w:rPr>
            <w:fldChar w:fldCharType="end"/>
          </w:r>
          <w:r>
            <w:rPr>
              <w:rFonts w:ascii="Arial" w:hAnsi="Arial" w:eastAsia="等线" w:cs="Arial"/>
              <w:bCs/>
              <w:color w:val="auto"/>
              <w:szCs w:val="32"/>
            </w:rPr>
            <w:fldChar w:fldCharType="end"/>
          </w:r>
        </w:p>
        <w:p w14:paraId="30E1552F">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_Toc30037 </w:instrText>
          </w:r>
          <w:r>
            <w:rPr>
              <w:rFonts w:ascii="Arial" w:hAnsi="Arial" w:eastAsia="等线" w:cs="Arial"/>
              <w:bCs/>
              <w:color w:val="auto"/>
              <w:szCs w:val="32"/>
            </w:rPr>
            <w:fldChar w:fldCharType="separate"/>
          </w:r>
          <w:r>
            <w:rPr>
              <w:color w:val="auto"/>
            </w:rPr>
            <w:t>9.2 涉外保护措施</w:t>
          </w:r>
          <w:r>
            <w:rPr>
              <w:color w:val="auto"/>
            </w:rPr>
            <w:tab/>
          </w:r>
          <w:r>
            <w:rPr>
              <w:color w:val="auto"/>
            </w:rPr>
            <w:fldChar w:fldCharType="begin"/>
          </w:r>
          <w:r>
            <w:rPr>
              <w:color w:val="auto"/>
            </w:rPr>
            <w:instrText xml:space="preserve"> PAGEREF _Toc30037 \h </w:instrText>
          </w:r>
          <w:r>
            <w:rPr>
              <w:color w:val="auto"/>
            </w:rPr>
            <w:fldChar w:fldCharType="separate"/>
          </w:r>
          <w:r>
            <w:rPr>
              <w:color w:val="auto"/>
            </w:rPr>
            <w:t>26</w:t>
          </w:r>
          <w:r>
            <w:rPr>
              <w:color w:val="auto"/>
            </w:rPr>
            <w:fldChar w:fldCharType="end"/>
          </w:r>
          <w:r>
            <w:rPr>
              <w:rFonts w:ascii="Arial" w:hAnsi="Arial" w:eastAsia="等线" w:cs="Arial"/>
              <w:bCs/>
              <w:color w:val="auto"/>
              <w:szCs w:val="32"/>
            </w:rPr>
            <w:fldChar w:fldCharType="end"/>
          </w:r>
        </w:p>
        <w:p w14:paraId="2155BB25">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_Toc17770 </w:instrText>
          </w:r>
          <w:r>
            <w:rPr>
              <w:rFonts w:ascii="Arial" w:hAnsi="Arial" w:eastAsia="等线" w:cs="Arial"/>
              <w:bCs/>
              <w:color w:val="auto"/>
              <w:szCs w:val="32"/>
            </w:rPr>
            <w:fldChar w:fldCharType="separate"/>
          </w:r>
          <w:r>
            <w:rPr>
              <w:color w:val="auto"/>
            </w:rPr>
            <w:t>9.2.1 法律合规措施</w:t>
          </w:r>
          <w:r>
            <w:rPr>
              <w:color w:val="auto"/>
            </w:rPr>
            <w:tab/>
          </w:r>
          <w:r>
            <w:rPr>
              <w:color w:val="auto"/>
            </w:rPr>
            <w:fldChar w:fldCharType="begin"/>
          </w:r>
          <w:r>
            <w:rPr>
              <w:color w:val="auto"/>
            </w:rPr>
            <w:instrText xml:space="preserve"> PAGEREF _Toc17770 \h </w:instrText>
          </w:r>
          <w:r>
            <w:rPr>
              <w:color w:val="auto"/>
            </w:rPr>
            <w:fldChar w:fldCharType="separate"/>
          </w:r>
          <w:r>
            <w:rPr>
              <w:color w:val="auto"/>
            </w:rPr>
            <w:t>26</w:t>
          </w:r>
          <w:r>
            <w:rPr>
              <w:color w:val="auto"/>
            </w:rPr>
            <w:fldChar w:fldCharType="end"/>
          </w:r>
          <w:r>
            <w:rPr>
              <w:rFonts w:ascii="Arial" w:hAnsi="Arial" w:eastAsia="等线" w:cs="Arial"/>
              <w:bCs/>
              <w:color w:val="auto"/>
              <w:szCs w:val="32"/>
            </w:rPr>
            <w:fldChar w:fldCharType="end"/>
          </w:r>
        </w:p>
        <w:p w14:paraId="30E616A9">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_Toc9582 </w:instrText>
          </w:r>
          <w:r>
            <w:rPr>
              <w:rFonts w:ascii="Arial" w:hAnsi="Arial" w:eastAsia="等线" w:cs="Arial"/>
              <w:bCs/>
              <w:color w:val="auto"/>
              <w:szCs w:val="32"/>
            </w:rPr>
            <w:fldChar w:fldCharType="separate"/>
          </w:r>
          <w:r>
            <w:rPr>
              <w:color w:val="auto"/>
            </w:rPr>
            <w:t>9.2.2 技术保护措施</w:t>
          </w:r>
          <w:r>
            <w:rPr>
              <w:color w:val="auto"/>
            </w:rPr>
            <w:tab/>
          </w:r>
          <w:r>
            <w:rPr>
              <w:color w:val="auto"/>
            </w:rPr>
            <w:fldChar w:fldCharType="begin"/>
          </w:r>
          <w:r>
            <w:rPr>
              <w:color w:val="auto"/>
            </w:rPr>
            <w:instrText xml:space="preserve"> PAGEREF _Toc9582 \h </w:instrText>
          </w:r>
          <w:r>
            <w:rPr>
              <w:color w:val="auto"/>
            </w:rPr>
            <w:fldChar w:fldCharType="separate"/>
          </w:r>
          <w:r>
            <w:rPr>
              <w:color w:val="auto"/>
            </w:rPr>
            <w:t>26</w:t>
          </w:r>
          <w:r>
            <w:rPr>
              <w:color w:val="auto"/>
            </w:rPr>
            <w:fldChar w:fldCharType="end"/>
          </w:r>
          <w:r>
            <w:rPr>
              <w:rFonts w:ascii="Arial" w:hAnsi="Arial" w:eastAsia="等线" w:cs="Arial"/>
              <w:bCs/>
              <w:color w:val="auto"/>
              <w:szCs w:val="32"/>
            </w:rPr>
            <w:fldChar w:fldCharType="end"/>
          </w:r>
        </w:p>
        <w:p w14:paraId="78684EA1">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_Toc25416 </w:instrText>
          </w:r>
          <w:r>
            <w:rPr>
              <w:rFonts w:ascii="Arial" w:hAnsi="Arial" w:eastAsia="等线" w:cs="Arial"/>
              <w:bCs/>
              <w:color w:val="auto"/>
              <w:szCs w:val="32"/>
            </w:rPr>
            <w:fldChar w:fldCharType="separate"/>
          </w:r>
          <w:r>
            <w:rPr>
              <w:color w:val="auto"/>
            </w:rPr>
            <w:t>9.2.3 合作管理措施</w:t>
          </w:r>
          <w:r>
            <w:rPr>
              <w:color w:val="auto"/>
            </w:rPr>
            <w:tab/>
          </w:r>
          <w:r>
            <w:rPr>
              <w:color w:val="auto"/>
            </w:rPr>
            <w:fldChar w:fldCharType="begin"/>
          </w:r>
          <w:r>
            <w:rPr>
              <w:color w:val="auto"/>
            </w:rPr>
            <w:instrText xml:space="preserve"> PAGEREF _Toc25416 \h </w:instrText>
          </w:r>
          <w:r>
            <w:rPr>
              <w:color w:val="auto"/>
            </w:rPr>
            <w:fldChar w:fldCharType="separate"/>
          </w:r>
          <w:r>
            <w:rPr>
              <w:color w:val="auto"/>
            </w:rPr>
            <w:t>27</w:t>
          </w:r>
          <w:r>
            <w:rPr>
              <w:color w:val="auto"/>
            </w:rPr>
            <w:fldChar w:fldCharType="end"/>
          </w:r>
          <w:r>
            <w:rPr>
              <w:rFonts w:ascii="Arial" w:hAnsi="Arial" w:eastAsia="等线" w:cs="Arial"/>
              <w:bCs/>
              <w:color w:val="auto"/>
              <w:szCs w:val="32"/>
            </w:rPr>
            <w:fldChar w:fldCharType="end"/>
          </w:r>
        </w:p>
        <w:p w14:paraId="69969721">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_Toc25596 </w:instrText>
          </w:r>
          <w:r>
            <w:rPr>
              <w:rFonts w:ascii="Arial" w:hAnsi="Arial" w:eastAsia="等线" w:cs="Arial"/>
              <w:bCs/>
              <w:color w:val="auto"/>
              <w:szCs w:val="32"/>
            </w:rPr>
            <w:fldChar w:fldCharType="separate"/>
          </w:r>
          <w:r>
            <w:rPr>
              <w:color w:val="auto"/>
            </w:rPr>
            <w:t>9.3 涉外争议解决</w:t>
          </w:r>
          <w:r>
            <w:rPr>
              <w:color w:val="auto"/>
            </w:rPr>
            <w:tab/>
          </w:r>
          <w:r>
            <w:rPr>
              <w:color w:val="auto"/>
            </w:rPr>
            <w:fldChar w:fldCharType="begin"/>
          </w:r>
          <w:r>
            <w:rPr>
              <w:color w:val="auto"/>
            </w:rPr>
            <w:instrText xml:space="preserve"> PAGEREF _Toc25596 \h </w:instrText>
          </w:r>
          <w:r>
            <w:rPr>
              <w:color w:val="auto"/>
            </w:rPr>
            <w:fldChar w:fldCharType="separate"/>
          </w:r>
          <w:r>
            <w:rPr>
              <w:color w:val="auto"/>
            </w:rPr>
            <w:t>27</w:t>
          </w:r>
          <w:r>
            <w:rPr>
              <w:color w:val="auto"/>
            </w:rPr>
            <w:fldChar w:fldCharType="end"/>
          </w:r>
          <w:r>
            <w:rPr>
              <w:rFonts w:ascii="Arial" w:hAnsi="Arial" w:eastAsia="等线" w:cs="Arial"/>
              <w:bCs/>
              <w:color w:val="auto"/>
              <w:szCs w:val="32"/>
            </w:rPr>
            <w:fldChar w:fldCharType="end"/>
          </w:r>
        </w:p>
        <w:p w14:paraId="329C8D97">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_Toc30533 </w:instrText>
          </w:r>
          <w:r>
            <w:rPr>
              <w:rFonts w:ascii="Arial" w:hAnsi="Arial" w:eastAsia="等线" w:cs="Arial"/>
              <w:bCs/>
              <w:color w:val="auto"/>
              <w:szCs w:val="32"/>
            </w:rPr>
            <w:fldChar w:fldCharType="separate"/>
          </w:r>
          <w:r>
            <w:rPr>
              <w:color w:val="auto"/>
            </w:rPr>
            <w:t>9.3.1 国际仲裁</w:t>
          </w:r>
          <w:r>
            <w:rPr>
              <w:color w:val="auto"/>
            </w:rPr>
            <w:tab/>
          </w:r>
          <w:r>
            <w:rPr>
              <w:color w:val="auto"/>
            </w:rPr>
            <w:fldChar w:fldCharType="begin"/>
          </w:r>
          <w:r>
            <w:rPr>
              <w:color w:val="auto"/>
            </w:rPr>
            <w:instrText xml:space="preserve"> PAGEREF _Toc30533 \h </w:instrText>
          </w:r>
          <w:r>
            <w:rPr>
              <w:color w:val="auto"/>
            </w:rPr>
            <w:fldChar w:fldCharType="separate"/>
          </w:r>
          <w:r>
            <w:rPr>
              <w:color w:val="auto"/>
            </w:rPr>
            <w:t>27</w:t>
          </w:r>
          <w:r>
            <w:rPr>
              <w:color w:val="auto"/>
            </w:rPr>
            <w:fldChar w:fldCharType="end"/>
          </w:r>
          <w:r>
            <w:rPr>
              <w:rFonts w:ascii="Arial" w:hAnsi="Arial" w:eastAsia="等线" w:cs="Arial"/>
              <w:bCs/>
              <w:color w:val="auto"/>
              <w:szCs w:val="32"/>
            </w:rPr>
            <w:fldChar w:fldCharType="end"/>
          </w:r>
        </w:p>
        <w:p w14:paraId="694955FF">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_Toc28841 </w:instrText>
          </w:r>
          <w:r>
            <w:rPr>
              <w:rFonts w:ascii="Arial" w:hAnsi="Arial" w:eastAsia="等线" w:cs="Arial"/>
              <w:bCs/>
              <w:color w:val="auto"/>
              <w:szCs w:val="32"/>
            </w:rPr>
            <w:fldChar w:fldCharType="separate"/>
          </w:r>
          <w:r>
            <w:rPr>
              <w:color w:val="auto"/>
            </w:rPr>
            <w:t>9.3.2 跨境执法与维权</w:t>
          </w:r>
          <w:r>
            <w:rPr>
              <w:color w:val="auto"/>
            </w:rPr>
            <w:tab/>
          </w:r>
          <w:r>
            <w:rPr>
              <w:color w:val="auto"/>
            </w:rPr>
            <w:fldChar w:fldCharType="begin"/>
          </w:r>
          <w:r>
            <w:rPr>
              <w:color w:val="auto"/>
            </w:rPr>
            <w:instrText xml:space="preserve"> PAGEREF _Toc28841 \h </w:instrText>
          </w:r>
          <w:r>
            <w:rPr>
              <w:color w:val="auto"/>
            </w:rPr>
            <w:fldChar w:fldCharType="separate"/>
          </w:r>
          <w:r>
            <w:rPr>
              <w:color w:val="auto"/>
            </w:rPr>
            <w:t>27</w:t>
          </w:r>
          <w:r>
            <w:rPr>
              <w:color w:val="auto"/>
            </w:rPr>
            <w:fldChar w:fldCharType="end"/>
          </w:r>
          <w:r>
            <w:rPr>
              <w:rFonts w:ascii="Arial" w:hAnsi="Arial" w:eastAsia="等线" w:cs="Arial"/>
              <w:bCs/>
              <w:color w:val="auto"/>
              <w:szCs w:val="32"/>
            </w:rPr>
            <w:fldChar w:fldCharType="end"/>
          </w:r>
        </w:p>
        <w:p w14:paraId="4784AA41">
          <w:pPr>
            <w:pStyle w:val="11"/>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_Toc20595 </w:instrText>
          </w:r>
          <w:r>
            <w:rPr>
              <w:rFonts w:ascii="Arial" w:hAnsi="Arial" w:eastAsia="等线" w:cs="Arial"/>
              <w:bCs/>
              <w:color w:val="auto"/>
              <w:szCs w:val="32"/>
            </w:rPr>
            <w:fldChar w:fldCharType="separate"/>
          </w:r>
          <w:r>
            <w:rPr>
              <w:color w:val="auto"/>
            </w:rPr>
            <w:t>十、监督检查、评估及改进</w:t>
          </w:r>
          <w:r>
            <w:rPr>
              <w:color w:val="auto"/>
            </w:rPr>
            <w:tab/>
          </w:r>
          <w:r>
            <w:rPr>
              <w:color w:val="auto"/>
            </w:rPr>
            <w:fldChar w:fldCharType="begin"/>
          </w:r>
          <w:r>
            <w:rPr>
              <w:color w:val="auto"/>
            </w:rPr>
            <w:instrText xml:space="preserve"> PAGEREF _Toc20595 \h </w:instrText>
          </w:r>
          <w:r>
            <w:rPr>
              <w:color w:val="auto"/>
            </w:rPr>
            <w:fldChar w:fldCharType="separate"/>
          </w:r>
          <w:r>
            <w:rPr>
              <w:color w:val="auto"/>
            </w:rPr>
            <w:t>27</w:t>
          </w:r>
          <w:r>
            <w:rPr>
              <w:color w:val="auto"/>
            </w:rPr>
            <w:fldChar w:fldCharType="end"/>
          </w:r>
          <w:r>
            <w:rPr>
              <w:rFonts w:ascii="Arial" w:hAnsi="Arial" w:eastAsia="等线" w:cs="Arial"/>
              <w:bCs/>
              <w:color w:val="auto"/>
              <w:szCs w:val="32"/>
            </w:rPr>
            <w:fldChar w:fldCharType="end"/>
          </w:r>
        </w:p>
        <w:p w14:paraId="061DB534">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_Toc23584 </w:instrText>
          </w:r>
          <w:r>
            <w:rPr>
              <w:rFonts w:ascii="Arial" w:hAnsi="Arial" w:eastAsia="等线" w:cs="Arial"/>
              <w:bCs/>
              <w:color w:val="auto"/>
              <w:szCs w:val="32"/>
            </w:rPr>
            <w:fldChar w:fldCharType="separate"/>
          </w:r>
          <w:r>
            <w:rPr>
              <w:color w:val="auto"/>
            </w:rPr>
            <w:t>10.1 监督检查</w:t>
          </w:r>
          <w:r>
            <w:rPr>
              <w:color w:val="auto"/>
            </w:rPr>
            <w:tab/>
          </w:r>
          <w:r>
            <w:rPr>
              <w:color w:val="auto"/>
            </w:rPr>
            <w:fldChar w:fldCharType="begin"/>
          </w:r>
          <w:r>
            <w:rPr>
              <w:color w:val="auto"/>
            </w:rPr>
            <w:instrText xml:space="preserve"> PAGEREF _Toc23584 \h </w:instrText>
          </w:r>
          <w:r>
            <w:rPr>
              <w:color w:val="auto"/>
            </w:rPr>
            <w:fldChar w:fldCharType="separate"/>
          </w:r>
          <w:r>
            <w:rPr>
              <w:color w:val="auto"/>
            </w:rPr>
            <w:t>28</w:t>
          </w:r>
          <w:r>
            <w:rPr>
              <w:color w:val="auto"/>
            </w:rPr>
            <w:fldChar w:fldCharType="end"/>
          </w:r>
          <w:r>
            <w:rPr>
              <w:rFonts w:ascii="Arial" w:hAnsi="Arial" w:eastAsia="等线" w:cs="Arial"/>
              <w:bCs/>
              <w:color w:val="auto"/>
              <w:szCs w:val="32"/>
            </w:rPr>
            <w:fldChar w:fldCharType="end"/>
          </w:r>
        </w:p>
        <w:p w14:paraId="2B5943D2">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_Toc19242 </w:instrText>
          </w:r>
          <w:r>
            <w:rPr>
              <w:rFonts w:ascii="Arial" w:hAnsi="Arial" w:eastAsia="等线" w:cs="Arial"/>
              <w:bCs/>
              <w:color w:val="auto"/>
              <w:szCs w:val="32"/>
            </w:rPr>
            <w:fldChar w:fldCharType="separate"/>
          </w:r>
          <w:r>
            <w:rPr>
              <w:color w:val="auto"/>
            </w:rPr>
            <w:t>10.1.1 日常检查</w:t>
          </w:r>
          <w:r>
            <w:rPr>
              <w:color w:val="auto"/>
            </w:rPr>
            <w:tab/>
          </w:r>
          <w:r>
            <w:rPr>
              <w:color w:val="auto"/>
            </w:rPr>
            <w:fldChar w:fldCharType="begin"/>
          </w:r>
          <w:r>
            <w:rPr>
              <w:color w:val="auto"/>
            </w:rPr>
            <w:instrText xml:space="preserve"> PAGEREF _Toc19242 \h </w:instrText>
          </w:r>
          <w:r>
            <w:rPr>
              <w:color w:val="auto"/>
            </w:rPr>
            <w:fldChar w:fldCharType="separate"/>
          </w:r>
          <w:r>
            <w:rPr>
              <w:color w:val="auto"/>
            </w:rPr>
            <w:t>28</w:t>
          </w:r>
          <w:r>
            <w:rPr>
              <w:color w:val="auto"/>
            </w:rPr>
            <w:fldChar w:fldCharType="end"/>
          </w:r>
          <w:r>
            <w:rPr>
              <w:rFonts w:ascii="Arial" w:hAnsi="Arial" w:eastAsia="等线" w:cs="Arial"/>
              <w:bCs/>
              <w:color w:val="auto"/>
              <w:szCs w:val="32"/>
            </w:rPr>
            <w:fldChar w:fldCharType="end"/>
          </w:r>
        </w:p>
        <w:p w14:paraId="1BD1B05D">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_Toc20046 </w:instrText>
          </w:r>
          <w:r>
            <w:rPr>
              <w:rFonts w:ascii="Arial" w:hAnsi="Arial" w:eastAsia="等线" w:cs="Arial"/>
              <w:bCs/>
              <w:color w:val="auto"/>
              <w:szCs w:val="32"/>
            </w:rPr>
            <w:fldChar w:fldCharType="separate"/>
          </w:r>
          <w:r>
            <w:rPr>
              <w:color w:val="auto"/>
            </w:rPr>
            <w:t>10.1.2 定期检查</w:t>
          </w:r>
          <w:r>
            <w:rPr>
              <w:color w:val="auto"/>
            </w:rPr>
            <w:tab/>
          </w:r>
          <w:r>
            <w:rPr>
              <w:color w:val="auto"/>
            </w:rPr>
            <w:fldChar w:fldCharType="begin"/>
          </w:r>
          <w:r>
            <w:rPr>
              <w:color w:val="auto"/>
            </w:rPr>
            <w:instrText xml:space="preserve"> PAGEREF _Toc20046 \h </w:instrText>
          </w:r>
          <w:r>
            <w:rPr>
              <w:color w:val="auto"/>
            </w:rPr>
            <w:fldChar w:fldCharType="separate"/>
          </w:r>
          <w:r>
            <w:rPr>
              <w:color w:val="auto"/>
            </w:rPr>
            <w:t>28</w:t>
          </w:r>
          <w:r>
            <w:rPr>
              <w:color w:val="auto"/>
            </w:rPr>
            <w:fldChar w:fldCharType="end"/>
          </w:r>
          <w:r>
            <w:rPr>
              <w:rFonts w:ascii="Arial" w:hAnsi="Arial" w:eastAsia="等线" w:cs="Arial"/>
              <w:bCs/>
              <w:color w:val="auto"/>
              <w:szCs w:val="32"/>
            </w:rPr>
            <w:fldChar w:fldCharType="end"/>
          </w:r>
        </w:p>
        <w:p w14:paraId="6884E036">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_Toc200 </w:instrText>
          </w:r>
          <w:r>
            <w:rPr>
              <w:rFonts w:ascii="Arial" w:hAnsi="Arial" w:eastAsia="等线" w:cs="Arial"/>
              <w:bCs/>
              <w:color w:val="auto"/>
              <w:szCs w:val="32"/>
            </w:rPr>
            <w:fldChar w:fldCharType="separate"/>
          </w:r>
          <w:r>
            <w:rPr>
              <w:color w:val="auto"/>
            </w:rPr>
            <w:t>10.1.3 检查记录与整改</w:t>
          </w:r>
          <w:r>
            <w:rPr>
              <w:color w:val="auto"/>
            </w:rPr>
            <w:tab/>
          </w:r>
          <w:r>
            <w:rPr>
              <w:color w:val="auto"/>
            </w:rPr>
            <w:fldChar w:fldCharType="begin"/>
          </w:r>
          <w:r>
            <w:rPr>
              <w:color w:val="auto"/>
            </w:rPr>
            <w:instrText xml:space="preserve"> PAGEREF _Toc200 \h </w:instrText>
          </w:r>
          <w:r>
            <w:rPr>
              <w:color w:val="auto"/>
            </w:rPr>
            <w:fldChar w:fldCharType="separate"/>
          </w:r>
          <w:r>
            <w:rPr>
              <w:color w:val="auto"/>
            </w:rPr>
            <w:t>28</w:t>
          </w:r>
          <w:r>
            <w:rPr>
              <w:color w:val="auto"/>
            </w:rPr>
            <w:fldChar w:fldCharType="end"/>
          </w:r>
          <w:r>
            <w:rPr>
              <w:rFonts w:ascii="Arial" w:hAnsi="Arial" w:eastAsia="等线" w:cs="Arial"/>
              <w:bCs/>
              <w:color w:val="auto"/>
              <w:szCs w:val="32"/>
            </w:rPr>
            <w:fldChar w:fldCharType="end"/>
          </w:r>
        </w:p>
        <w:p w14:paraId="4AB32312">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_Toc28569 </w:instrText>
          </w:r>
          <w:r>
            <w:rPr>
              <w:rFonts w:ascii="Arial" w:hAnsi="Arial" w:eastAsia="等线" w:cs="Arial"/>
              <w:bCs/>
              <w:color w:val="auto"/>
              <w:szCs w:val="32"/>
            </w:rPr>
            <w:fldChar w:fldCharType="separate"/>
          </w:r>
          <w:r>
            <w:rPr>
              <w:color w:val="auto"/>
            </w:rPr>
            <w:t>10.2 评估</w:t>
          </w:r>
          <w:r>
            <w:rPr>
              <w:color w:val="auto"/>
            </w:rPr>
            <w:tab/>
          </w:r>
          <w:r>
            <w:rPr>
              <w:color w:val="auto"/>
            </w:rPr>
            <w:fldChar w:fldCharType="begin"/>
          </w:r>
          <w:r>
            <w:rPr>
              <w:color w:val="auto"/>
            </w:rPr>
            <w:instrText xml:space="preserve"> PAGEREF _Toc28569 \h </w:instrText>
          </w:r>
          <w:r>
            <w:rPr>
              <w:color w:val="auto"/>
            </w:rPr>
            <w:fldChar w:fldCharType="separate"/>
          </w:r>
          <w:r>
            <w:rPr>
              <w:color w:val="auto"/>
            </w:rPr>
            <w:t>28</w:t>
          </w:r>
          <w:r>
            <w:rPr>
              <w:color w:val="auto"/>
            </w:rPr>
            <w:fldChar w:fldCharType="end"/>
          </w:r>
          <w:r>
            <w:rPr>
              <w:rFonts w:ascii="Arial" w:hAnsi="Arial" w:eastAsia="等线" w:cs="Arial"/>
              <w:bCs/>
              <w:color w:val="auto"/>
              <w:szCs w:val="32"/>
            </w:rPr>
            <w:fldChar w:fldCharType="end"/>
          </w:r>
        </w:p>
        <w:p w14:paraId="192BF4D6">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_Toc8858 </w:instrText>
          </w:r>
          <w:r>
            <w:rPr>
              <w:rFonts w:ascii="Arial" w:hAnsi="Arial" w:eastAsia="等线" w:cs="Arial"/>
              <w:bCs/>
              <w:color w:val="auto"/>
              <w:szCs w:val="32"/>
            </w:rPr>
            <w:fldChar w:fldCharType="separate"/>
          </w:r>
          <w:r>
            <w:rPr>
              <w:color w:val="auto"/>
            </w:rPr>
            <w:t>10.2.1 定期评估</w:t>
          </w:r>
          <w:r>
            <w:rPr>
              <w:color w:val="auto"/>
            </w:rPr>
            <w:tab/>
          </w:r>
          <w:r>
            <w:rPr>
              <w:color w:val="auto"/>
            </w:rPr>
            <w:fldChar w:fldCharType="begin"/>
          </w:r>
          <w:r>
            <w:rPr>
              <w:color w:val="auto"/>
            </w:rPr>
            <w:instrText xml:space="preserve"> PAGEREF _Toc8858 \h </w:instrText>
          </w:r>
          <w:r>
            <w:rPr>
              <w:color w:val="auto"/>
            </w:rPr>
            <w:fldChar w:fldCharType="separate"/>
          </w:r>
          <w:r>
            <w:rPr>
              <w:color w:val="auto"/>
            </w:rPr>
            <w:t>28</w:t>
          </w:r>
          <w:r>
            <w:rPr>
              <w:color w:val="auto"/>
            </w:rPr>
            <w:fldChar w:fldCharType="end"/>
          </w:r>
          <w:r>
            <w:rPr>
              <w:rFonts w:ascii="Arial" w:hAnsi="Arial" w:eastAsia="等线" w:cs="Arial"/>
              <w:bCs/>
              <w:color w:val="auto"/>
              <w:szCs w:val="32"/>
            </w:rPr>
            <w:fldChar w:fldCharType="end"/>
          </w:r>
        </w:p>
        <w:p w14:paraId="301FC390">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_Toc5291 </w:instrText>
          </w:r>
          <w:r>
            <w:rPr>
              <w:rFonts w:ascii="Arial" w:hAnsi="Arial" w:eastAsia="等线" w:cs="Arial"/>
              <w:bCs/>
              <w:color w:val="auto"/>
              <w:szCs w:val="32"/>
            </w:rPr>
            <w:fldChar w:fldCharType="separate"/>
          </w:r>
          <w:r>
            <w:rPr>
              <w:color w:val="auto"/>
            </w:rPr>
            <w:t>10.2.2 专项评估</w:t>
          </w:r>
          <w:r>
            <w:rPr>
              <w:color w:val="auto"/>
            </w:rPr>
            <w:tab/>
          </w:r>
          <w:r>
            <w:rPr>
              <w:color w:val="auto"/>
            </w:rPr>
            <w:fldChar w:fldCharType="begin"/>
          </w:r>
          <w:r>
            <w:rPr>
              <w:color w:val="auto"/>
            </w:rPr>
            <w:instrText xml:space="preserve"> PAGEREF _Toc5291 \h </w:instrText>
          </w:r>
          <w:r>
            <w:rPr>
              <w:color w:val="auto"/>
            </w:rPr>
            <w:fldChar w:fldCharType="separate"/>
          </w:r>
          <w:r>
            <w:rPr>
              <w:color w:val="auto"/>
            </w:rPr>
            <w:t>29</w:t>
          </w:r>
          <w:r>
            <w:rPr>
              <w:color w:val="auto"/>
            </w:rPr>
            <w:fldChar w:fldCharType="end"/>
          </w:r>
          <w:r>
            <w:rPr>
              <w:rFonts w:ascii="Arial" w:hAnsi="Arial" w:eastAsia="等线" w:cs="Arial"/>
              <w:bCs/>
              <w:color w:val="auto"/>
              <w:szCs w:val="32"/>
            </w:rPr>
            <w:fldChar w:fldCharType="end"/>
          </w:r>
        </w:p>
        <w:p w14:paraId="50B82988">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_Toc16618 </w:instrText>
          </w:r>
          <w:r>
            <w:rPr>
              <w:rFonts w:ascii="Arial" w:hAnsi="Arial" w:eastAsia="等线" w:cs="Arial"/>
              <w:bCs/>
              <w:color w:val="auto"/>
              <w:szCs w:val="32"/>
            </w:rPr>
            <w:fldChar w:fldCharType="separate"/>
          </w:r>
          <w:r>
            <w:rPr>
              <w:color w:val="auto"/>
            </w:rPr>
            <w:t>10.3 改进</w:t>
          </w:r>
          <w:r>
            <w:rPr>
              <w:color w:val="auto"/>
            </w:rPr>
            <w:tab/>
          </w:r>
          <w:r>
            <w:rPr>
              <w:color w:val="auto"/>
            </w:rPr>
            <w:fldChar w:fldCharType="begin"/>
          </w:r>
          <w:r>
            <w:rPr>
              <w:color w:val="auto"/>
            </w:rPr>
            <w:instrText xml:space="preserve"> PAGEREF _Toc16618 \h </w:instrText>
          </w:r>
          <w:r>
            <w:rPr>
              <w:color w:val="auto"/>
            </w:rPr>
            <w:fldChar w:fldCharType="separate"/>
          </w:r>
          <w:r>
            <w:rPr>
              <w:color w:val="auto"/>
            </w:rPr>
            <w:t>29</w:t>
          </w:r>
          <w:r>
            <w:rPr>
              <w:color w:val="auto"/>
            </w:rPr>
            <w:fldChar w:fldCharType="end"/>
          </w:r>
          <w:r>
            <w:rPr>
              <w:rFonts w:ascii="Arial" w:hAnsi="Arial" w:eastAsia="等线" w:cs="Arial"/>
              <w:bCs/>
              <w:color w:val="auto"/>
              <w:szCs w:val="32"/>
            </w:rPr>
            <w:fldChar w:fldCharType="end"/>
          </w:r>
        </w:p>
        <w:p w14:paraId="788BE1FD">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_Toc2508 </w:instrText>
          </w:r>
          <w:r>
            <w:rPr>
              <w:rFonts w:ascii="Arial" w:hAnsi="Arial" w:eastAsia="等线" w:cs="Arial"/>
              <w:bCs/>
              <w:color w:val="auto"/>
              <w:szCs w:val="32"/>
            </w:rPr>
            <w:fldChar w:fldCharType="separate"/>
          </w:r>
          <w:r>
            <w:rPr>
              <w:color w:val="auto"/>
            </w:rPr>
            <w:t>10.3.1 改进计划制定</w:t>
          </w:r>
          <w:r>
            <w:rPr>
              <w:color w:val="auto"/>
            </w:rPr>
            <w:tab/>
          </w:r>
          <w:r>
            <w:rPr>
              <w:color w:val="auto"/>
            </w:rPr>
            <w:fldChar w:fldCharType="begin"/>
          </w:r>
          <w:r>
            <w:rPr>
              <w:color w:val="auto"/>
            </w:rPr>
            <w:instrText xml:space="preserve"> PAGEREF _Toc2508 \h </w:instrText>
          </w:r>
          <w:r>
            <w:rPr>
              <w:color w:val="auto"/>
            </w:rPr>
            <w:fldChar w:fldCharType="separate"/>
          </w:r>
          <w:r>
            <w:rPr>
              <w:color w:val="auto"/>
            </w:rPr>
            <w:t>29</w:t>
          </w:r>
          <w:r>
            <w:rPr>
              <w:color w:val="auto"/>
            </w:rPr>
            <w:fldChar w:fldCharType="end"/>
          </w:r>
          <w:r>
            <w:rPr>
              <w:rFonts w:ascii="Arial" w:hAnsi="Arial" w:eastAsia="等线" w:cs="Arial"/>
              <w:bCs/>
              <w:color w:val="auto"/>
              <w:szCs w:val="32"/>
            </w:rPr>
            <w:fldChar w:fldCharType="end"/>
          </w:r>
        </w:p>
        <w:p w14:paraId="60648FE0">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_Toc1914 </w:instrText>
          </w:r>
          <w:r>
            <w:rPr>
              <w:rFonts w:ascii="Arial" w:hAnsi="Arial" w:eastAsia="等线" w:cs="Arial"/>
              <w:bCs/>
              <w:color w:val="auto"/>
              <w:szCs w:val="32"/>
            </w:rPr>
            <w:fldChar w:fldCharType="separate"/>
          </w:r>
          <w:r>
            <w:rPr>
              <w:color w:val="auto"/>
            </w:rPr>
            <w:t>10.3.2 改进措施落实</w:t>
          </w:r>
          <w:r>
            <w:rPr>
              <w:color w:val="auto"/>
            </w:rPr>
            <w:tab/>
          </w:r>
          <w:r>
            <w:rPr>
              <w:color w:val="auto"/>
            </w:rPr>
            <w:fldChar w:fldCharType="begin"/>
          </w:r>
          <w:r>
            <w:rPr>
              <w:color w:val="auto"/>
            </w:rPr>
            <w:instrText xml:space="preserve"> PAGEREF _Toc1914 \h </w:instrText>
          </w:r>
          <w:r>
            <w:rPr>
              <w:color w:val="auto"/>
            </w:rPr>
            <w:fldChar w:fldCharType="separate"/>
          </w:r>
          <w:r>
            <w:rPr>
              <w:color w:val="auto"/>
            </w:rPr>
            <w:t>29</w:t>
          </w:r>
          <w:r>
            <w:rPr>
              <w:color w:val="auto"/>
            </w:rPr>
            <w:fldChar w:fldCharType="end"/>
          </w:r>
          <w:r>
            <w:rPr>
              <w:rFonts w:ascii="Arial" w:hAnsi="Arial" w:eastAsia="等线" w:cs="Arial"/>
              <w:bCs/>
              <w:color w:val="auto"/>
              <w:szCs w:val="32"/>
            </w:rPr>
            <w:fldChar w:fldCharType="end"/>
          </w:r>
        </w:p>
        <w:p w14:paraId="0D463837">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_Toc482 </w:instrText>
          </w:r>
          <w:r>
            <w:rPr>
              <w:rFonts w:ascii="Arial" w:hAnsi="Arial" w:eastAsia="等线" w:cs="Arial"/>
              <w:bCs/>
              <w:color w:val="auto"/>
              <w:szCs w:val="32"/>
            </w:rPr>
            <w:fldChar w:fldCharType="separate"/>
          </w:r>
          <w:r>
            <w:rPr>
              <w:color w:val="auto"/>
            </w:rPr>
            <w:t>10.3.3 持续改进</w:t>
          </w:r>
          <w:r>
            <w:rPr>
              <w:color w:val="auto"/>
            </w:rPr>
            <w:tab/>
          </w:r>
          <w:r>
            <w:rPr>
              <w:color w:val="auto"/>
            </w:rPr>
            <w:fldChar w:fldCharType="begin"/>
          </w:r>
          <w:r>
            <w:rPr>
              <w:color w:val="auto"/>
            </w:rPr>
            <w:instrText xml:space="preserve"> PAGEREF _Toc482 \h </w:instrText>
          </w:r>
          <w:r>
            <w:rPr>
              <w:color w:val="auto"/>
            </w:rPr>
            <w:fldChar w:fldCharType="separate"/>
          </w:r>
          <w:r>
            <w:rPr>
              <w:color w:val="auto"/>
            </w:rPr>
            <w:t>29</w:t>
          </w:r>
          <w:r>
            <w:rPr>
              <w:color w:val="auto"/>
            </w:rPr>
            <w:fldChar w:fldCharType="end"/>
          </w:r>
          <w:r>
            <w:rPr>
              <w:rFonts w:ascii="Arial" w:hAnsi="Arial" w:eastAsia="等线" w:cs="Arial"/>
              <w:bCs/>
              <w:color w:val="auto"/>
              <w:szCs w:val="32"/>
            </w:rPr>
            <w:fldChar w:fldCharType="end"/>
          </w:r>
        </w:p>
        <w:p w14:paraId="42C0C20A">
          <w:pPr>
            <w:pStyle w:val="11"/>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_Toc771 </w:instrText>
          </w:r>
          <w:r>
            <w:rPr>
              <w:rFonts w:ascii="Arial" w:hAnsi="Arial" w:eastAsia="等线" w:cs="Arial"/>
              <w:bCs/>
              <w:color w:val="auto"/>
              <w:szCs w:val="32"/>
            </w:rPr>
            <w:fldChar w:fldCharType="separate"/>
          </w:r>
          <w:r>
            <w:rPr>
              <w:color w:val="auto"/>
            </w:rPr>
            <w:t>十一、奖惩机制</w:t>
          </w:r>
          <w:r>
            <w:rPr>
              <w:color w:val="auto"/>
            </w:rPr>
            <w:tab/>
          </w:r>
          <w:r>
            <w:rPr>
              <w:color w:val="auto"/>
            </w:rPr>
            <w:fldChar w:fldCharType="begin"/>
          </w:r>
          <w:r>
            <w:rPr>
              <w:color w:val="auto"/>
            </w:rPr>
            <w:instrText xml:space="preserve"> PAGEREF _Toc771 \h </w:instrText>
          </w:r>
          <w:r>
            <w:rPr>
              <w:color w:val="auto"/>
            </w:rPr>
            <w:fldChar w:fldCharType="separate"/>
          </w:r>
          <w:r>
            <w:rPr>
              <w:color w:val="auto"/>
            </w:rPr>
            <w:t>30</w:t>
          </w:r>
          <w:r>
            <w:rPr>
              <w:color w:val="auto"/>
            </w:rPr>
            <w:fldChar w:fldCharType="end"/>
          </w:r>
          <w:r>
            <w:rPr>
              <w:rFonts w:ascii="Arial" w:hAnsi="Arial" w:eastAsia="等线" w:cs="Arial"/>
              <w:bCs/>
              <w:color w:val="auto"/>
              <w:szCs w:val="32"/>
            </w:rPr>
            <w:fldChar w:fldCharType="end"/>
          </w:r>
        </w:p>
        <w:p w14:paraId="612CA038">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_Toc3721 </w:instrText>
          </w:r>
          <w:r>
            <w:rPr>
              <w:rFonts w:ascii="Arial" w:hAnsi="Arial" w:eastAsia="等线" w:cs="Arial"/>
              <w:bCs/>
              <w:color w:val="auto"/>
              <w:szCs w:val="32"/>
            </w:rPr>
            <w:fldChar w:fldCharType="separate"/>
          </w:r>
          <w:r>
            <w:rPr>
              <w:color w:val="auto"/>
            </w:rPr>
            <w:t>11.1 奖励</w:t>
          </w:r>
          <w:r>
            <w:rPr>
              <w:color w:val="auto"/>
            </w:rPr>
            <w:tab/>
          </w:r>
          <w:r>
            <w:rPr>
              <w:color w:val="auto"/>
            </w:rPr>
            <w:fldChar w:fldCharType="begin"/>
          </w:r>
          <w:r>
            <w:rPr>
              <w:color w:val="auto"/>
            </w:rPr>
            <w:instrText xml:space="preserve"> PAGEREF _Toc3721 \h </w:instrText>
          </w:r>
          <w:r>
            <w:rPr>
              <w:color w:val="auto"/>
            </w:rPr>
            <w:fldChar w:fldCharType="separate"/>
          </w:r>
          <w:r>
            <w:rPr>
              <w:color w:val="auto"/>
            </w:rPr>
            <w:t>30</w:t>
          </w:r>
          <w:r>
            <w:rPr>
              <w:color w:val="auto"/>
            </w:rPr>
            <w:fldChar w:fldCharType="end"/>
          </w:r>
          <w:r>
            <w:rPr>
              <w:rFonts w:ascii="Arial" w:hAnsi="Arial" w:eastAsia="等线" w:cs="Arial"/>
              <w:bCs/>
              <w:color w:val="auto"/>
              <w:szCs w:val="32"/>
            </w:rPr>
            <w:fldChar w:fldCharType="end"/>
          </w:r>
        </w:p>
        <w:p w14:paraId="770C8816">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_Toc24423 </w:instrText>
          </w:r>
          <w:r>
            <w:rPr>
              <w:rFonts w:ascii="Arial" w:hAnsi="Arial" w:eastAsia="等线" w:cs="Arial"/>
              <w:bCs/>
              <w:color w:val="auto"/>
              <w:szCs w:val="32"/>
            </w:rPr>
            <w:fldChar w:fldCharType="separate"/>
          </w:r>
          <w:r>
            <w:rPr>
              <w:color w:val="auto"/>
            </w:rPr>
            <w:t>11.2 处罚</w:t>
          </w:r>
          <w:r>
            <w:rPr>
              <w:color w:val="auto"/>
            </w:rPr>
            <w:tab/>
          </w:r>
          <w:r>
            <w:rPr>
              <w:color w:val="auto"/>
            </w:rPr>
            <w:fldChar w:fldCharType="begin"/>
          </w:r>
          <w:r>
            <w:rPr>
              <w:color w:val="auto"/>
            </w:rPr>
            <w:instrText xml:space="preserve"> PAGEREF _Toc24423 \h </w:instrText>
          </w:r>
          <w:r>
            <w:rPr>
              <w:color w:val="auto"/>
            </w:rPr>
            <w:fldChar w:fldCharType="separate"/>
          </w:r>
          <w:r>
            <w:rPr>
              <w:color w:val="auto"/>
            </w:rPr>
            <w:t>30</w:t>
          </w:r>
          <w:r>
            <w:rPr>
              <w:color w:val="auto"/>
            </w:rPr>
            <w:fldChar w:fldCharType="end"/>
          </w:r>
          <w:r>
            <w:rPr>
              <w:rFonts w:ascii="Arial" w:hAnsi="Arial" w:eastAsia="等线" w:cs="Arial"/>
              <w:bCs/>
              <w:color w:val="auto"/>
              <w:szCs w:val="32"/>
            </w:rPr>
            <w:fldChar w:fldCharType="end"/>
          </w:r>
        </w:p>
        <w:p w14:paraId="6E9CF16B">
          <w:pPr>
            <w:pStyle w:val="11"/>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_Toc29163 </w:instrText>
          </w:r>
          <w:r>
            <w:rPr>
              <w:rFonts w:ascii="Arial" w:hAnsi="Arial" w:eastAsia="等线" w:cs="Arial"/>
              <w:bCs/>
              <w:color w:val="auto"/>
              <w:szCs w:val="32"/>
            </w:rPr>
            <w:fldChar w:fldCharType="separate"/>
          </w:r>
          <w:r>
            <w:rPr>
              <w:color w:val="auto"/>
            </w:rPr>
            <w:t>十二、附录</w:t>
          </w:r>
          <w:r>
            <w:rPr>
              <w:color w:val="auto"/>
            </w:rPr>
            <w:tab/>
          </w:r>
          <w:r>
            <w:rPr>
              <w:color w:val="auto"/>
            </w:rPr>
            <w:fldChar w:fldCharType="begin"/>
          </w:r>
          <w:r>
            <w:rPr>
              <w:color w:val="auto"/>
            </w:rPr>
            <w:instrText xml:space="preserve"> PAGEREF _Toc29163 \h </w:instrText>
          </w:r>
          <w:r>
            <w:rPr>
              <w:color w:val="auto"/>
            </w:rPr>
            <w:fldChar w:fldCharType="separate"/>
          </w:r>
          <w:r>
            <w:rPr>
              <w:color w:val="auto"/>
            </w:rPr>
            <w:t>31</w:t>
          </w:r>
          <w:r>
            <w:rPr>
              <w:color w:val="auto"/>
            </w:rPr>
            <w:fldChar w:fldCharType="end"/>
          </w:r>
          <w:r>
            <w:rPr>
              <w:rFonts w:ascii="Arial" w:hAnsi="Arial" w:eastAsia="等线" w:cs="Arial"/>
              <w:bCs/>
              <w:color w:val="auto"/>
              <w:szCs w:val="32"/>
            </w:rPr>
            <w:fldChar w:fldCharType="end"/>
          </w:r>
        </w:p>
        <w:p w14:paraId="75DF4E37">
          <w:pPr>
            <w:pStyle w:val="11"/>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_Toc19640 </w:instrText>
          </w:r>
          <w:r>
            <w:rPr>
              <w:rFonts w:ascii="Arial" w:hAnsi="Arial" w:eastAsia="等线" w:cs="Arial"/>
              <w:bCs/>
              <w:color w:val="auto"/>
              <w:szCs w:val="32"/>
            </w:rPr>
            <w:fldChar w:fldCharType="separate"/>
          </w:r>
          <w:r>
            <w:rPr>
              <w:color w:val="auto"/>
            </w:rPr>
            <w:t>附录一 引用法律文件</w:t>
          </w:r>
          <w:r>
            <w:rPr>
              <w:color w:val="auto"/>
            </w:rPr>
            <w:tab/>
          </w:r>
          <w:r>
            <w:rPr>
              <w:color w:val="auto"/>
            </w:rPr>
            <w:fldChar w:fldCharType="begin"/>
          </w:r>
          <w:r>
            <w:rPr>
              <w:color w:val="auto"/>
            </w:rPr>
            <w:instrText xml:space="preserve"> PAGEREF _Toc19640 \h </w:instrText>
          </w:r>
          <w:r>
            <w:rPr>
              <w:color w:val="auto"/>
            </w:rPr>
            <w:fldChar w:fldCharType="separate"/>
          </w:r>
          <w:r>
            <w:rPr>
              <w:color w:val="auto"/>
            </w:rPr>
            <w:t>31</w:t>
          </w:r>
          <w:r>
            <w:rPr>
              <w:color w:val="auto"/>
            </w:rPr>
            <w:fldChar w:fldCharType="end"/>
          </w:r>
          <w:r>
            <w:rPr>
              <w:rFonts w:ascii="Arial" w:hAnsi="Arial" w:eastAsia="等线" w:cs="Arial"/>
              <w:bCs/>
              <w:color w:val="auto"/>
              <w:szCs w:val="32"/>
            </w:rPr>
            <w:fldChar w:fldCharType="end"/>
          </w:r>
        </w:p>
        <w:p w14:paraId="5EF81B0B">
          <w:pPr>
            <w:pStyle w:val="11"/>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_Toc24628 </w:instrText>
          </w:r>
          <w:r>
            <w:rPr>
              <w:rFonts w:ascii="Arial" w:hAnsi="Arial" w:eastAsia="等线" w:cs="Arial"/>
              <w:bCs/>
              <w:color w:val="auto"/>
              <w:szCs w:val="32"/>
            </w:rPr>
            <w:fldChar w:fldCharType="separate"/>
          </w:r>
          <w:r>
            <w:rPr>
              <w:color w:val="auto"/>
            </w:rPr>
            <w:t>附录二 商业秘密保护组织体系架构图</w:t>
          </w:r>
          <w:r>
            <w:rPr>
              <w:color w:val="auto"/>
            </w:rPr>
            <w:tab/>
          </w:r>
          <w:r>
            <w:rPr>
              <w:color w:val="auto"/>
            </w:rPr>
            <w:fldChar w:fldCharType="begin"/>
          </w:r>
          <w:r>
            <w:rPr>
              <w:color w:val="auto"/>
            </w:rPr>
            <w:instrText xml:space="preserve"> PAGEREF _Toc24628 \h </w:instrText>
          </w:r>
          <w:r>
            <w:rPr>
              <w:color w:val="auto"/>
            </w:rPr>
            <w:fldChar w:fldCharType="separate"/>
          </w:r>
          <w:r>
            <w:rPr>
              <w:color w:val="auto"/>
            </w:rPr>
            <w:t>32</w:t>
          </w:r>
          <w:r>
            <w:rPr>
              <w:color w:val="auto"/>
            </w:rPr>
            <w:fldChar w:fldCharType="end"/>
          </w:r>
          <w:r>
            <w:rPr>
              <w:rFonts w:ascii="Arial" w:hAnsi="Arial" w:eastAsia="等线" w:cs="Arial"/>
              <w:bCs/>
              <w:color w:val="auto"/>
              <w:szCs w:val="32"/>
            </w:rPr>
            <w:fldChar w:fldCharType="end"/>
          </w:r>
        </w:p>
        <w:p w14:paraId="67705047">
          <w:pPr>
            <w:pStyle w:val="11"/>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_Toc26953 </w:instrText>
          </w:r>
          <w:r>
            <w:rPr>
              <w:rFonts w:ascii="Arial" w:hAnsi="Arial" w:eastAsia="等线" w:cs="Arial"/>
              <w:bCs/>
              <w:color w:val="auto"/>
              <w:szCs w:val="32"/>
            </w:rPr>
            <w:fldChar w:fldCharType="separate"/>
          </w:r>
          <w:r>
            <w:rPr>
              <w:color w:val="auto"/>
            </w:rPr>
            <w:t>附录三 临清轴承产业商业秘密重点保密事项指引</w:t>
          </w:r>
          <w:r>
            <w:rPr>
              <w:color w:val="auto"/>
            </w:rPr>
            <w:tab/>
          </w:r>
          <w:r>
            <w:rPr>
              <w:color w:val="auto"/>
            </w:rPr>
            <w:fldChar w:fldCharType="begin"/>
          </w:r>
          <w:r>
            <w:rPr>
              <w:color w:val="auto"/>
            </w:rPr>
            <w:instrText xml:space="preserve"> PAGEREF _Toc26953 \h </w:instrText>
          </w:r>
          <w:r>
            <w:rPr>
              <w:color w:val="auto"/>
            </w:rPr>
            <w:fldChar w:fldCharType="separate"/>
          </w:r>
          <w:r>
            <w:rPr>
              <w:color w:val="auto"/>
            </w:rPr>
            <w:t>33</w:t>
          </w:r>
          <w:r>
            <w:rPr>
              <w:color w:val="auto"/>
            </w:rPr>
            <w:fldChar w:fldCharType="end"/>
          </w:r>
          <w:r>
            <w:rPr>
              <w:rFonts w:ascii="Arial" w:hAnsi="Arial" w:eastAsia="等线" w:cs="Arial"/>
              <w:bCs/>
              <w:color w:val="auto"/>
              <w:szCs w:val="32"/>
            </w:rPr>
            <w:fldChar w:fldCharType="end"/>
          </w:r>
        </w:p>
        <w:p w14:paraId="19952B74">
          <w:pPr>
            <w:pStyle w:val="11"/>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_Toc13788 </w:instrText>
          </w:r>
          <w:r>
            <w:rPr>
              <w:rFonts w:ascii="Arial" w:hAnsi="Arial" w:eastAsia="等线" w:cs="Arial"/>
              <w:bCs/>
              <w:color w:val="auto"/>
              <w:szCs w:val="32"/>
            </w:rPr>
            <w:fldChar w:fldCharType="separate"/>
          </w:r>
          <w:r>
            <w:rPr>
              <w:color w:val="auto"/>
            </w:rPr>
            <w:t>附录四 商业秘密清单参考文本</w:t>
          </w:r>
          <w:r>
            <w:rPr>
              <w:color w:val="auto"/>
            </w:rPr>
            <w:tab/>
          </w:r>
          <w:r>
            <w:rPr>
              <w:color w:val="auto"/>
            </w:rPr>
            <w:fldChar w:fldCharType="begin"/>
          </w:r>
          <w:r>
            <w:rPr>
              <w:color w:val="auto"/>
            </w:rPr>
            <w:instrText xml:space="preserve"> PAGEREF _Toc13788 \h </w:instrText>
          </w:r>
          <w:r>
            <w:rPr>
              <w:color w:val="auto"/>
            </w:rPr>
            <w:fldChar w:fldCharType="separate"/>
          </w:r>
          <w:r>
            <w:rPr>
              <w:color w:val="auto"/>
            </w:rPr>
            <w:t>35</w:t>
          </w:r>
          <w:r>
            <w:rPr>
              <w:color w:val="auto"/>
            </w:rPr>
            <w:fldChar w:fldCharType="end"/>
          </w:r>
          <w:r>
            <w:rPr>
              <w:rFonts w:ascii="Arial" w:hAnsi="Arial" w:eastAsia="等线" w:cs="Arial"/>
              <w:bCs/>
              <w:color w:val="auto"/>
              <w:szCs w:val="32"/>
            </w:rPr>
            <w:fldChar w:fldCharType="end"/>
          </w:r>
        </w:p>
        <w:p w14:paraId="454A2AAE">
          <w:pPr>
            <w:pStyle w:val="11"/>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_Toc16732 </w:instrText>
          </w:r>
          <w:r>
            <w:rPr>
              <w:rFonts w:ascii="Arial" w:hAnsi="Arial" w:eastAsia="等线" w:cs="Arial"/>
              <w:bCs/>
              <w:color w:val="auto"/>
              <w:szCs w:val="32"/>
            </w:rPr>
            <w:fldChar w:fldCharType="separate"/>
          </w:r>
          <w:r>
            <w:rPr>
              <w:color w:val="auto"/>
            </w:rPr>
            <w:t>附录五 商业秘密保密协议参考文本（员工版）</w:t>
          </w:r>
          <w:r>
            <w:rPr>
              <w:color w:val="auto"/>
            </w:rPr>
            <w:tab/>
          </w:r>
          <w:r>
            <w:rPr>
              <w:color w:val="auto"/>
            </w:rPr>
            <w:fldChar w:fldCharType="begin"/>
          </w:r>
          <w:r>
            <w:rPr>
              <w:color w:val="auto"/>
            </w:rPr>
            <w:instrText xml:space="preserve"> PAGEREF _Toc16732 \h </w:instrText>
          </w:r>
          <w:r>
            <w:rPr>
              <w:color w:val="auto"/>
            </w:rPr>
            <w:fldChar w:fldCharType="separate"/>
          </w:r>
          <w:r>
            <w:rPr>
              <w:color w:val="auto"/>
            </w:rPr>
            <w:t>36</w:t>
          </w:r>
          <w:r>
            <w:rPr>
              <w:color w:val="auto"/>
            </w:rPr>
            <w:fldChar w:fldCharType="end"/>
          </w:r>
          <w:r>
            <w:rPr>
              <w:rFonts w:ascii="Arial" w:hAnsi="Arial" w:eastAsia="等线" w:cs="Arial"/>
              <w:bCs/>
              <w:color w:val="auto"/>
              <w:szCs w:val="32"/>
            </w:rPr>
            <w:fldChar w:fldCharType="end"/>
          </w:r>
        </w:p>
        <w:p w14:paraId="324C21C6">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_Toc4387 </w:instrText>
          </w:r>
          <w:r>
            <w:rPr>
              <w:rFonts w:ascii="Arial" w:hAnsi="Arial" w:eastAsia="等线" w:cs="Arial"/>
              <w:bCs/>
              <w:color w:val="auto"/>
              <w:szCs w:val="32"/>
            </w:rPr>
            <w:fldChar w:fldCharType="separate"/>
          </w:r>
          <w:r>
            <w:rPr>
              <w:color w:val="auto"/>
            </w:rPr>
            <w:t>第一条 商业秘密范围</w:t>
          </w:r>
          <w:r>
            <w:rPr>
              <w:color w:val="auto"/>
            </w:rPr>
            <w:tab/>
          </w:r>
          <w:r>
            <w:rPr>
              <w:color w:val="auto"/>
            </w:rPr>
            <w:fldChar w:fldCharType="begin"/>
          </w:r>
          <w:r>
            <w:rPr>
              <w:color w:val="auto"/>
            </w:rPr>
            <w:instrText xml:space="preserve"> PAGEREF _Toc4387 \h </w:instrText>
          </w:r>
          <w:r>
            <w:rPr>
              <w:color w:val="auto"/>
            </w:rPr>
            <w:fldChar w:fldCharType="separate"/>
          </w:r>
          <w:r>
            <w:rPr>
              <w:color w:val="auto"/>
            </w:rPr>
            <w:t>36</w:t>
          </w:r>
          <w:r>
            <w:rPr>
              <w:color w:val="auto"/>
            </w:rPr>
            <w:fldChar w:fldCharType="end"/>
          </w:r>
          <w:r>
            <w:rPr>
              <w:rFonts w:ascii="Arial" w:hAnsi="Arial" w:eastAsia="等线" w:cs="Arial"/>
              <w:bCs/>
              <w:color w:val="auto"/>
              <w:szCs w:val="32"/>
            </w:rPr>
            <w:fldChar w:fldCharType="end"/>
          </w:r>
        </w:p>
        <w:p w14:paraId="78BD4E95">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_Toc14635 </w:instrText>
          </w:r>
          <w:r>
            <w:rPr>
              <w:rFonts w:ascii="Arial" w:hAnsi="Arial" w:eastAsia="等线" w:cs="Arial"/>
              <w:bCs/>
              <w:color w:val="auto"/>
              <w:szCs w:val="32"/>
            </w:rPr>
            <w:fldChar w:fldCharType="separate"/>
          </w:r>
          <w:r>
            <w:rPr>
              <w:color w:val="auto"/>
            </w:rPr>
            <w:t>第二条 乙方保密义务</w:t>
          </w:r>
          <w:r>
            <w:rPr>
              <w:color w:val="auto"/>
            </w:rPr>
            <w:tab/>
          </w:r>
          <w:r>
            <w:rPr>
              <w:color w:val="auto"/>
            </w:rPr>
            <w:fldChar w:fldCharType="begin"/>
          </w:r>
          <w:r>
            <w:rPr>
              <w:color w:val="auto"/>
            </w:rPr>
            <w:instrText xml:space="preserve"> PAGEREF _Toc14635 \h </w:instrText>
          </w:r>
          <w:r>
            <w:rPr>
              <w:color w:val="auto"/>
            </w:rPr>
            <w:fldChar w:fldCharType="separate"/>
          </w:r>
          <w:r>
            <w:rPr>
              <w:color w:val="auto"/>
            </w:rPr>
            <w:t>36</w:t>
          </w:r>
          <w:r>
            <w:rPr>
              <w:color w:val="auto"/>
            </w:rPr>
            <w:fldChar w:fldCharType="end"/>
          </w:r>
          <w:r>
            <w:rPr>
              <w:rFonts w:ascii="Arial" w:hAnsi="Arial" w:eastAsia="等线" w:cs="Arial"/>
              <w:bCs/>
              <w:color w:val="auto"/>
              <w:szCs w:val="32"/>
            </w:rPr>
            <w:fldChar w:fldCharType="end"/>
          </w:r>
        </w:p>
        <w:p w14:paraId="633121E2">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_Toc28776 </w:instrText>
          </w:r>
          <w:r>
            <w:rPr>
              <w:rFonts w:ascii="Arial" w:hAnsi="Arial" w:eastAsia="等线" w:cs="Arial"/>
              <w:bCs/>
              <w:color w:val="auto"/>
              <w:szCs w:val="32"/>
            </w:rPr>
            <w:fldChar w:fldCharType="separate"/>
          </w:r>
          <w:r>
            <w:rPr>
              <w:rFonts w:hint="default"/>
              <w:color w:val="auto"/>
              <w:szCs w:val="22"/>
            </w:rPr>
            <w:t xml:space="preserve">1. </w:t>
          </w:r>
          <w:r>
            <w:rPr>
              <w:color w:val="auto"/>
            </w:rPr>
            <w:t>在职期间：</w:t>
          </w:r>
          <w:r>
            <w:rPr>
              <w:color w:val="auto"/>
            </w:rPr>
            <w:tab/>
          </w:r>
          <w:r>
            <w:rPr>
              <w:color w:val="auto"/>
            </w:rPr>
            <w:fldChar w:fldCharType="begin"/>
          </w:r>
          <w:r>
            <w:rPr>
              <w:color w:val="auto"/>
            </w:rPr>
            <w:instrText xml:space="preserve"> PAGEREF _Toc28776 \h </w:instrText>
          </w:r>
          <w:r>
            <w:rPr>
              <w:color w:val="auto"/>
            </w:rPr>
            <w:fldChar w:fldCharType="separate"/>
          </w:r>
          <w:r>
            <w:rPr>
              <w:color w:val="auto"/>
            </w:rPr>
            <w:t>36</w:t>
          </w:r>
          <w:r>
            <w:rPr>
              <w:color w:val="auto"/>
            </w:rPr>
            <w:fldChar w:fldCharType="end"/>
          </w:r>
          <w:r>
            <w:rPr>
              <w:rFonts w:ascii="Arial" w:hAnsi="Arial" w:eastAsia="等线" w:cs="Arial"/>
              <w:bCs/>
              <w:color w:val="auto"/>
              <w:szCs w:val="32"/>
            </w:rPr>
            <w:fldChar w:fldCharType="end"/>
          </w:r>
        </w:p>
        <w:p w14:paraId="70AA6D0B">
          <w:pPr>
            <w:pStyle w:val="8"/>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_Toc7267 </w:instrText>
          </w:r>
          <w:r>
            <w:rPr>
              <w:rFonts w:ascii="Arial" w:hAnsi="Arial" w:eastAsia="等线" w:cs="Arial"/>
              <w:bCs/>
              <w:color w:val="auto"/>
              <w:szCs w:val="32"/>
            </w:rPr>
            <w:fldChar w:fldCharType="separate"/>
          </w:r>
          <w:r>
            <w:rPr>
              <w:rFonts w:hint="default"/>
              <w:color w:val="auto"/>
              <w:szCs w:val="22"/>
            </w:rPr>
            <w:t xml:space="preserve">2. </w:t>
          </w:r>
          <w:r>
            <w:rPr>
              <w:color w:val="auto"/>
            </w:rPr>
            <w:t>离职后：</w:t>
          </w:r>
          <w:r>
            <w:rPr>
              <w:color w:val="auto"/>
            </w:rPr>
            <w:tab/>
          </w:r>
          <w:r>
            <w:rPr>
              <w:color w:val="auto"/>
            </w:rPr>
            <w:fldChar w:fldCharType="begin"/>
          </w:r>
          <w:r>
            <w:rPr>
              <w:color w:val="auto"/>
            </w:rPr>
            <w:instrText xml:space="preserve"> PAGEREF _Toc7267 \h </w:instrText>
          </w:r>
          <w:r>
            <w:rPr>
              <w:color w:val="auto"/>
            </w:rPr>
            <w:fldChar w:fldCharType="separate"/>
          </w:r>
          <w:r>
            <w:rPr>
              <w:color w:val="auto"/>
            </w:rPr>
            <w:t>37</w:t>
          </w:r>
          <w:r>
            <w:rPr>
              <w:color w:val="auto"/>
            </w:rPr>
            <w:fldChar w:fldCharType="end"/>
          </w:r>
          <w:r>
            <w:rPr>
              <w:rFonts w:ascii="Arial" w:hAnsi="Arial" w:eastAsia="等线" w:cs="Arial"/>
              <w:bCs/>
              <w:color w:val="auto"/>
              <w:szCs w:val="32"/>
            </w:rPr>
            <w:fldChar w:fldCharType="end"/>
          </w:r>
        </w:p>
        <w:p w14:paraId="1233C7AE">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_Toc17480 </w:instrText>
          </w:r>
          <w:r>
            <w:rPr>
              <w:rFonts w:ascii="Arial" w:hAnsi="Arial" w:eastAsia="等线" w:cs="Arial"/>
              <w:bCs/>
              <w:color w:val="auto"/>
              <w:szCs w:val="32"/>
            </w:rPr>
            <w:fldChar w:fldCharType="separate"/>
          </w:r>
          <w:r>
            <w:rPr>
              <w:color w:val="auto"/>
            </w:rPr>
            <w:t>第三条 保密期限</w:t>
          </w:r>
          <w:r>
            <w:rPr>
              <w:color w:val="auto"/>
            </w:rPr>
            <w:tab/>
          </w:r>
          <w:r>
            <w:rPr>
              <w:color w:val="auto"/>
            </w:rPr>
            <w:fldChar w:fldCharType="begin"/>
          </w:r>
          <w:r>
            <w:rPr>
              <w:color w:val="auto"/>
            </w:rPr>
            <w:instrText xml:space="preserve"> PAGEREF _Toc17480 \h </w:instrText>
          </w:r>
          <w:r>
            <w:rPr>
              <w:color w:val="auto"/>
            </w:rPr>
            <w:fldChar w:fldCharType="separate"/>
          </w:r>
          <w:r>
            <w:rPr>
              <w:color w:val="auto"/>
            </w:rPr>
            <w:t>37</w:t>
          </w:r>
          <w:r>
            <w:rPr>
              <w:color w:val="auto"/>
            </w:rPr>
            <w:fldChar w:fldCharType="end"/>
          </w:r>
          <w:r>
            <w:rPr>
              <w:rFonts w:ascii="Arial" w:hAnsi="Arial" w:eastAsia="等线" w:cs="Arial"/>
              <w:bCs/>
              <w:color w:val="auto"/>
              <w:szCs w:val="32"/>
            </w:rPr>
            <w:fldChar w:fldCharType="end"/>
          </w:r>
        </w:p>
        <w:p w14:paraId="7FBAA521">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_Toc9802 </w:instrText>
          </w:r>
          <w:r>
            <w:rPr>
              <w:rFonts w:ascii="Arial" w:hAnsi="Arial" w:eastAsia="等线" w:cs="Arial"/>
              <w:bCs/>
              <w:color w:val="auto"/>
              <w:szCs w:val="32"/>
            </w:rPr>
            <w:fldChar w:fldCharType="separate"/>
          </w:r>
          <w:r>
            <w:rPr>
              <w:color w:val="auto"/>
            </w:rPr>
            <w:t>第四条 违约责任</w:t>
          </w:r>
          <w:r>
            <w:rPr>
              <w:color w:val="auto"/>
            </w:rPr>
            <w:tab/>
          </w:r>
          <w:r>
            <w:rPr>
              <w:color w:val="auto"/>
            </w:rPr>
            <w:fldChar w:fldCharType="begin"/>
          </w:r>
          <w:r>
            <w:rPr>
              <w:color w:val="auto"/>
            </w:rPr>
            <w:instrText xml:space="preserve"> PAGEREF _Toc9802 \h </w:instrText>
          </w:r>
          <w:r>
            <w:rPr>
              <w:color w:val="auto"/>
            </w:rPr>
            <w:fldChar w:fldCharType="separate"/>
          </w:r>
          <w:r>
            <w:rPr>
              <w:color w:val="auto"/>
            </w:rPr>
            <w:t>37</w:t>
          </w:r>
          <w:r>
            <w:rPr>
              <w:color w:val="auto"/>
            </w:rPr>
            <w:fldChar w:fldCharType="end"/>
          </w:r>
          <w:r>
            <w:rPr>
              <w:rFonts w:ascii="Arial" w:hAnsi="Arial" w:eastAsia="等线" w:cs="Arial"/>
              <w:bCs/>
              <w:color w:val="auto"/>
              <w:szCs w:val="32"/>
            </w:rPr>
            <w:fldChar w:fldCharType="end"/>
          </w:r>
        </w:p>
        <w:p w14:paraId="567400BA">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_Toc7078 </w:instrText>
          </w:r>
          <w:r>
            <w:rPr>
              <w:rFonts w:ascii="Arial" w:hAnsi="Arial" w:eastAsia="等线" w:cs="Arial"/>
              <w:bCs/>
              <w:color w:val="auto"/>
              <w:szCs w:val="32"/>
            </w:rPr>
            <w:fldChar w:fldCharType="separate"/>
          </w:r>
          <w:r>
            <w:rPr>
              <w:color w:val="auto"/>
            </w:rPr>
            <w:t>第五条 争议解决</w:t>
          </w:r>
          <w:r>
            <w:rPr>
              <w:color w:val="auto"/>
            </w:rPr>
            <w:tab/>
          </w:r>
          <w:r>
            <w:rPr>
              <w:color w:val="auto"/>
            </w:rPr>
            <w:fldChar w:fldCharType="begin"/>
          </w:r>
          <w:r>
            <w:rPr>
              <w:color w:val="auto"/>
            </w:rPr>
            <w:instrText xml:space="preserve"> PAGEREF _Toc7078 \h </w:instrText>
          </w:r>
          <w:r>
            <w:rPr>
              <w:color w:val="auto"/>
            </w:rPr>
            <w:fldChar w:fldCharType="separate"/>
          </w:r>
          <w:r>
            <w:rPr>
              <w:color w:val="auto"/>
            </w:rPr>
            <w:t>37</w:t>
          </w:r>
          <w:r>
            <w:rPr>
              <w:color w:val="auto"/>
            </w:rPr>
            <w:fldChar w:fldCharType="end"/>
          </w:r>
          <w:r>
            <w:rPr>
              <w:rFonts w:ascii="Arial" w:hAnsi="Arial" w:eastAsia="等线" w:cs="Arial"/>
              <w:bCs/>
              <w:color w:val="auto"/>
              <w:szCs w:val="32"/>
            </w:rPr>
            <w:fldChar w:fldCharType="end"/>
          </w:r>
        </w:p>
        <w:p w14:paraId="5DE2469C">
          <w:pPr>
            <w:pStyle w:val="13"/>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_Toc12314 </w:instrText>
          </w:r>
          <w:r>
            <w:rPr>
              <w:rFonts w:ascii="Arial" w:hAnsi="Arial" w:eastAsia="等线" w:cs="Arial"/>
              <w:bCs/>
              <w:color w:val="auto"/>
              <w:szCs w:val="32"/>
            </w:rPr>
            <w:fldChar w:fldCharType="separate"/>
          </w:r>
          <w:r>
            <w:rPr>
              <w:color w:val="auto"/>
            </w:rPr>
            <w:t>第六条 其他</w:t>
          </w:r>
          <w:r>
            <w:rPr>
              <w:color w:val="auto"/>
            </w:rPr>
            <w:tab/>
          </w:r>
          <w:r>
            <w:rPr>
              <w:color w:val="auto"/>
            </w:rPr>
            <w:fldChar w:fldCharType="begin"/>
          </w:r>
          <w:r>
            <w:rPr>
              <w:color w:val="auto"/>
            </w:rPr>
            <w:instrText xml:space="preserve"> PAGEREF _Toc12314 \h </w:instrText>
          </w:r>
          <w:r>
            <w:rPr>
              <w:color w:val="auto"/>
            </w:rPr>
            <w:fldChar w:fldCharType="separate"/>
          </w:r>
          <w:r>
            <w:rPr>
              <w:color w:val="auto"/>
            </w:rPr>
            <w:t>37</w:t>
          </w:r>
          <w:r>
            <w:rPr>
              <w:color w:val="auto"/>
            </w:rPr>
            <w:fldChar w:fldCharType="end"/>
          </w:r>
          <w:r>
            <w:rPr>
              <w:rFonts w:ascii="Arial" w:hAnsi="Arial" w:eastAsia="等线" w:cs="Arial"/>
              <w:bCs/>
              <w:color w:val="auto"/>
              <w:szCs w:val="32"/>
            </w:rPr>
            <w:fldChar w:fldCharType="end"/>
          </w:r>
        </w:p>
        <w:p w14:paraId="2220B60F">
          <w:pPr>
            <w:pStyle w:val="11"/>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_Toc272 </w:instrText>
          </w:r>
          <w:r>
            <w:rPr>
              <w:rFonts w:ascii="Arial" w:hAnsi="Arial" w:eastAsia="等线" w:cs="Arial"/>
              <w:bCs/>
              <w:color w:val="auto"/>
              <w:szCs w:val="32"/>
            </w:rPr>
            <w:fldChar w:fldCharType="separate"/>
          </w:r>
          <w:r>
            <w:rPr>
              <w:color w:val="auto"/>
            </w:rPr>
            <w:t>附录六 竞业限制协议参考文本</w:t>
          </w:r>
          <w:r>
            <w:rPr>
              <w:color w:val="auto"/>
            </w:rPr>
            <w:tab/>
          </w:r>
          <w:r>
            <w:rPr>
              <w:color w:val="auto"/>
            </w:rPr>
            <w:fldChar w:fldCharType="begin"/>
          </w:r>
          <w:r>
            <w:rPr>
              <w:color w:val="auto"/>
            </w:rPr>
            <w:instrText xml:space="preserve"> PAGEREF _Toc272 \h </w:instrText>
          </w:r>
          <w:r>
            <w:rPr>
              <w:color w:val="auto"/>
            </w:rPr>
            <w:fldChar w:fldCharType="separate"/>
          </w:r>
          <w:r>
            <w:rPr>
              <w:color w:val="auto"/>
            </w:rPr>
            <w:t>38</w:t>
          </w:r>
          <w:r>
            <w:rPr>
              <w:color w:val="auto"/>
            </w:rPr>
            <w:fldChar w:fldCharType="end"/>
          </w:r>
          <w:r>
            <w:rPr>
              <w:rFonts w:ascii="Arial" w:hAnsi="Arial" w:eastAsia="等线" w:cs="Arial"/>
              <w:bCs/>
              <w:color w:val="auto"/>
              <w:szCs w:val="32"/>
            </w:rPr>
            <w:fldChar w:fldCharType="end"/>
          </w:r>
        </w:p>
        <w:p w14:paraId="10E4B9A8">
          <w:pPr>
            <w:pStyle w:val="11"/>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_Toc24427 </w:instrText>
          </w:r>
          <w:r>
            <w:rPr>
              <w:rFonts w:ascii="Arial" w:hAnsi="Arial" w:eastAsia="等线" w:cs="Arial"/>
              <w:bCs/>
              <w:color w:val="auto"/>
              <w:szCs w:val="32"/>
            </w:rPr>
            <w:fldChar w:fldCharType="separate"/>
          </w:r>
          <w:r>
            <w:rPr>
              <w:color w:val="auto"/>
            </w:rPr>
            <w:t>第一条 竞业限制范围与期限</w:t>
          </w:r>
          <w:r>
            <w:rPr>
              <w:color w:val="auto"/>
            </w:rPr>
            <w:tab/>
          </w:r>
          <w:r>
            <w:rPr>
              <w:color w:val="auto"/>
            </w:rPr>
            <w:fldChar w:fldCharType="begin"/>
          </w:r>
          <w:r>
            <w:rPr>
              <w:color w:val="auto"/>
            </w:rPr>
            <w:instrText xml:space="preserve"> PAGEREF _Toc24427 \h </w:instrText>
          </w:r>
          <w:r>
            <w:rPr>
              <w:color w:val="auto"/>
            </w:rPr>
            <w:fldChar w:fldCharType="separate"/>
          </w:r>
          <w:r>
            <w:rPr>
              <w:color w:val="auto"/>
            </w:rPr>
            <w:t>38</w:t>
          </w:r>
          <w:r>
            <w:rPr>
              <w:color w:val="auto"/>
            </w:rPr>
            <w:fldChar w:fldCharType="end"/>
          </w:r>
          <w:r>
            <w:rPr>
              <w:rFonts w:ascii="Arial" w:hAnsi="Arial" w:eastAsia="等线" w:cs="Arial"/>
              <w:bCs/>
              <w:color w:val="auto"/>
              <w:szCs w:val="32"/>
            </w:rPr>
            <w:fldChar w:fldCharType="end"/>
          </w:r>
        </w:p>
        <w:p w14:paraId="429DABF8">
          <w:pPr>
            <w:pStyle w:val="11"/>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_Toc7188 </w:instrText>
          </w:r>
          <w:r>
            <w:rPr>
              <w:rFonts w:ascii="Arial" w:hAnsi="Arial" w:eastAsia="等线" w:cs="Arial"/>
              <w:bCs/>
              <w:color w:val="auto"/>
              <w:szCs w:val="32"/>
            </w:rPr>
            <w:fldChar w:fldCharType="separate"/>
          </w:r>
          <w:r>
            <w:rPr>
              <w:color w:val="auto"/>
            </w:rPr>
            <w:t>第二条 竞业限制补偿</w:t>
          </w:r>
          <w:r>
            <w:rPr>
              <w:color w:val="auto"/>
            </w:rPr>
            <w:tab/>
          </w:r>
          <w:r>
            <w:rPr>
              <w:color w:val="auto"/>
            </w:rPr>
            <w:fldChar w:fldCharType="begin"/>
          </w:r>
          <w:r>
            <w:rPr>
              <w:color w:val="auto"/>
            </w:rPr>
            <w:instrText xml:space="preserve"> PAGEREF _Toc7188 \h </w:instrText>
          </w:r>
          <w:r>
            <w:rPr>
              <w:color w:val="auto"/>
            </w:rPr>
            <w:fldChar w:fldCharType="separate"/>
          </w:r>
          <w:r>
            <w:rPr>
              <w:color w:val="auto"/>
            </w:rPr>
            <w:t>38</w:t>
          </w:r>
          <w:r>
            <w:rPr>
              <w:color w:val="auto"/>
            </w:rPr>
            <w:fldChar w:fldCharType="end"/>
          </w:r>
          <w:r>
            <w:rPr>
              <w:rFonts w:ascii="Arial" w:hAnsi="Arial" w:eastAsia="等线" w:cs="Arial"/>
              <w:bCs/>
              <w:color w:val="auto"/>
              <w:szCs w:val="32"/>
            </w:rPr>
            <w:fldChar w:fldCharType="end"/>
          </w:r>
        </w:p>
        <w:p w14:paraId="788161F3">
          <w:pPr>
            <w:pStyle w:val="11"/>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_Toc15510 </w:instrText>
          </w:r>
          <w:r>
            <w:rPr>
              <w:rFonts w:ascii="Arial" w:hAnsi="Arial" w:eastAsia="等线" w:cs="Arial"/>
              <w:bCs/>
              <w:color w:val="auto"/>
              <w:szCs w:val="32"/>
            </w:rPr>
            <w:fldChar w:fldCharType="separate"/>
          </w:r>
          <w:r>
            <w:rPr>
              <w:color w:val="auto"/>
            </w:rPr>
            <w:t>第三条 乙方义务</w:t>
          </w:r>
          <w:r>
            <w:rPr>
              <w:color w:val="auto"/>
            </w:rPr>
            <w:tab/>
          </w:r>
          <w:r>
            <w:rPr>
              <w:color w:val="auto"/>
            </w:rPr>
            <w:fldChar w:fldCharType="begin"/>
          </w:r>
          <w:r>
            <w:rPr>
              <w:color w:val="auto"/>
            </w:rPr>
            <w:instrText xml:space="preserve"> PAGEREF _Toc15510 \h </w:instrText>
          </w:r>
          <w:r>
            <w:rPr>
              <w:color w:val="auto"/>
            </w:rPr>
            <w:fldChar w:fldCharType="separate"/>
          </w:r>
          <w:r>
            <w:rPr>
              <w:color w:val="auto"/>
            </w:rPr>
            <w:t>39</w:t>
          </w:r>
          <w:r>
            <w:rPr>
              <w:color w:val="auto"/>
            </w:rPr>
            <w:fldChar w:fldCharType="end"/>
          </w:r>
          <w:r>
            <w:rPr>
              <w:rFonts w:ascii="Arial" w:hAnsi="Arial" w:eastAsia="等线" w:cs="Arial"/>
              <w:bCs/>
              <w:color w:val="auto"/>
              <w:szCs w:val="32"/>
            </w:rPr>
            <w:fldChar w:fldCharType="end"/>
          </w:r>
        </w:p>
        <w:p w14:paraId="3BCBE4B8">
          <w:pPr>
            <w:pStyle w:val="11"/>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_Toc32394 </w:instrText>
          </w:r>
          <w:r>
            <w:rPr>
              <w:rFonts w:ascii="Arial" w:hAnsi="Arial" w:eastAsia="等线" w:cs="Arial"/>
              <w:bCs/>
              <w:color w:val="auto"/>
              <w:szCs w:val="32"/>
            </w:rPr>
            <w:fldChar w:fldCharType="separate"/>
          </w:r>
          <w:r>
            <w:rPr>
              <w:color w:val="auto"/>
            </w:rPr>
            <w:t>第四条 违约责任</w:t>
          </w:r>
          <w:r>
            <w:rPr>
              <w:color w:val="auto"/>
            </w:rPr>
            <w:tab/>
          </w:r>
          <w:r>
            <w:rPr>
              <w:color w:val="auto"/>
            </w:rPr>
            <w:fldChar w:fldCharType="begin"/>
          </w:r>
          <w:r>
            <w:rPr>
              <w:color w:val="auto"/>
            </w:rPr>
            <w:instrText xml:space="preserve"> PAGEREF _Toc32394 \h </w:instrText>
          </w:r>
          <w:r>
            <w:rPr>
              <w:color w:val="auto"/>
            </w:rPr>
            <w:fldChar w:fldCharType="separate"/>
          </w:r>
          <w:r>
            <w:rPr>
              <w:color w:val="auto"/>
            </w:rPr>
            <w:t>39</w:t>
          </w:r>
          <w:r>
            <w:rPr>
              <w:color w:val="auto"/>
            </w:rPr>
            <w:fldChar w:fldCharType="end"/>
          </w:r>
          <w:r>
            <w:rPr>
              <w:rFonts w:ascii="Arial" w:hAnsi="Arial" w:eastAsia="等线" w:cs="Arial"/>
              <w:bCs/>
              <w:color w:val="auto"/>
              <w:szCs w:val="32"/>
            </w:rPr>
            <w:fldChar w:fldCharType="end"/>
          </w:r>
        </w:p>
        <w:p w14:paraId="295DC57B">
          <w:pPr>
            <w:pStyle w:val="11"/>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_Toc6514 </w:instrText>
          </w:r>
          <w:r>
            <w:rPr>
              <w:rFonts w:ascii="Arial" w:hAnsi="Arial" w:eastAsia="等线" w:cs="Arial"/>
              <w:bCs/>
              <w:color w:val="auto"/>
              <w:szCs w:val="32"/>
            </w:rPr>
            <w:fldChar w:fldCharType="separate"/>
          </w:r>
          <w:r>
            <w:rPr>
              <w:color w:val="auto"/>
            </w:rPr>
            <w:t>第五条 争议解决</w:t>
          </w:r>
          <w:r>
            <w:rPr>
              <w:color w:val="auto"/>
            </w:rPr>
            <w:tab/>
          </w:r>
          <w:r>
            <w:rPr>
              <w:color w:val="auto"/>
            </w:rPr>
            <w:fldChar w:fldCharType="begin"/>
          </w:r>
          <w:r>
            <w:rPr>
              <w:color w:val="auto"/>
            </w:rPr>
            <w:instrText xml:space="preserve"> PAGEREF _Toc6514 \h </w:instrText>
          </w:r>
          <w:r>
            <w:rPr>
              <w:color w:val="auto"/>
            </w:rPr>
            <w:fldChar w:fldCharType="separate"/>
          </w:r>
          <w:r>
            <w:rPr>
              <w:color w:val="auto"/>
            </w:rPr>
            <w:t>39</w:t>
          </w:r>
          <w:r>
            <w:rPr>
              <w:color w:val="auto"/>
            </w:rPr>
            <w:fldChar w:fldCharType="end"/>
          </w:r>
          <w:r>
            <w:rPr>
              <w:rFonts w:ascii="Arial" w:hAnsi="Arial" w:eastAsia="等线" w:cs="Arial"/>
              <w:bCs/>
              <w:color w:val="auto"/>
              <w:szCs w:val="32"/>
            </w:rPr>
            <w:fldChar w:fldCharType="end"/>
          </w:r>
        </w:p>
        <w:p w14:paraId="0F17F522">
          <w:pPr>
            <w:pStyle w:val="11"/>
            <w:tabs>
              <w:tab w:val="right" w:leader="dot" w:pos="9026"/>
            </w:tabs>
            <w:rPr>
              <w:color w:val="auto"/>
            </w:rPr>
          </w:pPr>
          <w:r>
            <w:rPr>
              <w:rFonts w:ascii="Arial" w:hAnsi="Arial" w:eastAsia="等线" w:cs="Arial"/>
              <w:bCs/>
              <w:color w:val="auto"/>
              <w:szCs w:val="32"/>
            </w:rPr>
            <w:fldChar w:fldCharType="begin"/>
          </w:r>
          <w:r>
            <w:rPr>
              <w:rFonts w:ascii="Arial" w:hAnsi="Arial" w:eastAsia="等线" w:cs="Arial"/>
              <w:bCs/>
              <w:color w:val="auto"/>
              <w:szCs w:val="32"/>
            </w:rPr>
            <w:instrText xml:space="preserve"> HYPERLINK \l _Toc1244 </w:instrText>
          </w:r>
          <w:r>
            <w:rPr>
              <w:rFonts w:ascii="Arial" w:hAnsi="Arial" w:eastAsia="等线" w:cs="Arial"/>
              <w:bCs/>
              <w:color w:val="auto"/>
              <w:szCs w:val="32"/>
            </w:rPr>
            <w:fldChar w:fldCharType="separate"/>
          </w:r>
          <w:r>
            <w:rPr>
              <w:color w:val="auto"/>
            </w:rPr>
            <w:t>第六条 其他</w:t>
          </w:r>
          <w:r>
            <w:rPr>
              <w:color w:val="auto"/>
            </w:rPr>
            <w:tab/>
          </w:r>
          <w:r>
            <w:rPr>
              <w:color w:val="auto"/>
            </w:rPr>
            <w:fldChar w:fldCharType="begin"/>
          </w:r>
          <w:r>
            <w:rPr>
              <w:color w:val="auto"/>
            </w:rPr>
            <w:instrText xml:space="preserve"> PAGEREF _Toc1244 \h </w:instrText>
          </w:r>
          <w:r>
            <w:rPr>
              <w:color w:val="auto"/>
            </w:rPr>
            <w:fldChar w:fldCharType="separate"/>
          </w:r>
          <w:r>
            <w:rPr>
              <w:color w:val="auto"/>
            </w:rPr>
            <w:t>39</w:t>
          </w:r>
          <w:r>
            <w:rPr>
              <w:color w:val="auto"/>
            </w:rPr>
            <w:fldChar w:fldCharType="end"/>
          </w:r>
          <w:r>
            <w:rPr>
              <w:rFonts w:ascii="Arial" w:hAnsi="Arial" w:eastAsia="等线" w:cs="Arial"/>
              <w:bCs/>
              <w:color w:val="auto"/>
              <w:szCs w:val="32"/>
            </w:rPr>
            <w:fldChar w:fldCharType="end"/>
          </w:r>
        </w:p>
        <w:p w14:paraId="3948D806">
          <w:pPr>
            <w:spacing w:before="320" w:after="120" w:line="288" w:lineRule="auto"/>
            <w:ind w:left="0" w:leftChars="0"/>
            <w:jc w:val="left"/>
            <w:outlineLvl w:val="9"/>
            <w:rPr>
              <w:color w:val="auto"/>
            </w:rPr>
          </w:pPr>
          <w:r>
            <w:rPr>
              <w:rFonts w:ascii="Arial" w:hAnsi="Arial" w:eastAsia="等线" w:cs="Arial"/>
              <w:bCs/>
              <w:color w:val="auto"/>
              <w:szCs w:val="32"/>
            </w:rPr>
            <w:fldChar w:fldCharType="end"/>
          </w:r>
          <w:bookmarkStart w:id="0" w:name="_Toc7124"/>
        </w:p>
      </w:sdtContent>
    </w:sdt>
    <w:p w14:paraId="1E464A21">
      <w:pPr>
        <w:pStyle w:val="3"/>
        <w:ind w:left="0" w:leftChars="0"/>
        <w:outlineLvl w:val="0"/>
        <w:rPr>
          <w:color w:val="auto"/>
        </w:rPr>
      </w:pPr>
      <w:r>
        <w:rPr>
          <w:color w:val="auto"/>
        </w:rPr>
        <w:t>一、总则</w:t>
      </w:r>
      <w:bookmarkEnd w:id="0"/>
    </w:p>
    <w:p w14:paraId="5D13F875">
      <w:pPr>
        <w:pStyle w:val="4"/>
        <w:ind w:left="0" w:leftChars="0"/>
        <w:outlineLvl w:val="1"/>
        <w:rPr>
          <w:color w:val="auto"/>
        </w:rPr>
      </w:pPr>
      <w:bookmarkStart w:id="1" w:name="_Toc3946"/>
      <w:r>
        <w:rPr>
          <w:color w:val="auto"/>
        </w:rPr>
        <w:t>1.1 产业背景与制度意义</w:t>
      </w:r>
      <w:bookmarkEnd w:id="1"/>
    </w:p>
    <w:p w14:paraId="7982586B">
      <w:pPr>
        <w:pStyle w:val="21"/>
        <w:rPr>
          <w:color w:val="auto"/>
        </w:rPr>
      </w:pPr>
      <w:r>
        <w:rPr>
          <w:rFonts w:hint="eastAsia"/>
          <w:color w:val="auto"/>
          <w:lang w:val="en-US" w:eastAsia="zh-CN"/>
        </w:rPr>
        <w:t>聊城</w:t>
      </w:r>
      <w:r>
        <w:rPr>
          <w:color w:val="auto"/>
        </w:rPr>
        <w:t>市</w:t>
      </w:r>
      <w:r>
        <w:rPr>
          <w:color w:val="auto"/>
        </w:rPr>
        <w:t>作为全国重要的轴承生产基地，轴承产业已形成涵盖研发设计、锻造加工、热处理、精密磨削、装配检测、物流销售等全产业链条的产业集群，产品广泛应用于汽车、工程机械、风电、轨道交通等关键领域。当前，</w:t>
      </w:r>
      <w:r>
        <w:rPr>
          <w:rFonts w:hint="eastAsia"/>
          <w:color w:val="auto"/>
          <w:lang w:val="en-US" w:eastAsia="zh-CN"/>
        </w:rPr>
        <w:t>聊城</w:t>
      </w:r>
      <w:r>
        <w:rPr>
          <w:color w:val="auto"/>
        </w:rPr>
        <w:t>轴承产业</w:t>
      </w:r>
      <w:r>
        <w:rPr>
          <w:color w:val="auto"/>
        </w:rPr>
        <w:t>正从 “规模扩张” 向 “质量提升、技术突破” 转型，核心工艺参数、专用设备技术、客户定制需求、供应链合作模式等商业秘密，已成为企业赢得市场竞争、实现技术迭代的核心资产。</w:t>
      </w:r>
    </w:p>
    <w:p w14:paraId="3EFCA46F">
      <w:pPr>
        <w:pStyle w:val="21"/>
        <w:rPr>
          <w:color w:val="auto"/>
        </w:rPr>
      </w:pPr>
      <w:r>
        <w:rPr>
          <w:color w:val="auto"/>
        </w:rPr>
        <w:t>然而，轴承产业</w:t>
      </w:r>
      <w:r>
        <w:rPr>
          <w:rFonts w:hint="eastAsia"/>
          <w:color w:val="auto"/>
          <w:lang w:val="en-US" w:eastAsia="zh-CN"/>
        </w:rPr>
        <w:t>链</w:t>
      </w:r>
      <w:r>
        <w:rPr>
          <w:color w:val="auto"/>
        </w:rPr>
        <w:t>面临着商业秘密保护意识薄弱、保护措施碎片化、人员流动泄密风险高、反向工程破解门槛较低等问题。为规范企业商业秘密管理，防范泄密风险，维护产业公平竞争秩序，推动轴承</w:t>
      </w:r>
      <w:r>
        <w:rPr>
          <w:rFonts w:hint="eastAsia"/>
          <w:color w:val="auto"/>
          <w:lang w:val="en-US" w:eastAsia="zh-CN"/>
        </w:rPr>
        <w:t>行</w:t>
      </w:r>
      <w:r>
        <w:rPr>
          <w:color w:val="auto"/>
        </w:rPr>
        <w:t>业高质量发展，依据《中华人民共和国反不正当竞争法》《中华人民共和国劳动合同法》《山东省化工行业商业秘密保护工作指南》《聊城市商业秘密保护管理和服务规范》等法律法规及指引文件，结合轴承</w:t>
      </w:r>
      <w:r>
        <w:rPr>
          <w:rFonts w:hint="eastAsia"/>
          <w:color w:val="auto"/>
          <w:lang w:val="en-US" w:eastAsia="zh-CN"/>
        </w:rPr>
        <w:t>行业</w:t>
      </w:r>
      <w:r>
        <w:rPr>
          <w:color w:val="auto"/>
        </w:rPr>
        <w:t>实际，</w:t>
      </w:r>
      <w:r>
        <w:rPr>
          <w:rFonts w:hint="eastAsia"/>
          <w:color w:val="auto"/>
          <w:lang w:val="en-US" w:eastAsia="zh-CN"/>
        </w:rPr>
        <w:t>起草本保护指南</w:t>
      </w:r>
      <w:r>
        <w:rPr>
          <w:color w:val="auto"/>
        </w:rPr>
        <w:t>。</w:t>
      </w:r>
    </w:p>
    <w:p w14:paraId="1A4E7A2C">
      <w:pPr>
        <w:pStyle w:val="4"/>
        <w:ind w:left="0" w:leftChars="0"/>
        <w:outlineLvl w:val="1"/>
        <w:rPr>
          <w:color w:val="auto"/>
        </w:rPr>
      </w:pPr>
      <w:bookmarkStart w:id="2" w:name="_Toc3795"/>
      <w:r>
        <w:rPr>
          <w:color w:val="auto"/>
        </w:rPr>
        <w:t>1.2 适用范围</w:t>
      </w:r>
      <w:bookmarkEnd w:id="2"/>
    </w:p>
    <w:p w14:paraId="194C9442">
      <w:pPr>
        <w:pStyle w:val="21"/>
        <w:rPr>
          <w:color w:val="auto"/>
        </w:rPr>
      </w:pPr>
      <w:r>
        <w:rPr>
          <w:color w:val="auto"/>
        </w:rPr>
        <w:t>本制度体系适用于从事轴承研发、生产、加工、销售、服务及相关配套产业的企业（以下简称 “轴承企业”），包括但不限于轴承整机制造企业、轴承零部件</w:t>
      </w:r>
      <w:r>
        <w:rPr>
          <w:rFonts w:hint="eastAsia"/>
          <w:color w:val="auto"/>
          <w:lang w:eastAsia="zh-CN"/>
        </w:rPr>
        <w:t>（</w:t>
      </w:r>
      <w:r>
        <w:rPr>
          <w:rFonts w:hint="eastAsia"/>
          <w:color w:val="auto"/>
          <w:lang w:val="en-US" w:eastAsia="zh-CN"/>
        </w:rPr>
        <w:t>原材料、滚动体、内外套、保持器等）相关配套企业</w:t>
      </w:r>
      <w:r>
        <w:rPr>
          <w:color w:val="auto"/>
        </w:rPr>
        <w:t>、专用设备研发企业、检测服务机构等。产业园区、行业协会、第三方服务机构开展轴承产业商业秘密保护相关工作，可参照本</w:t>
      </w:r>
      <w:r>
        <w:rPr>
          <w:rFonts w:hint="eastAsia"/>
          <w:color w:val="auto"/>
          <w:lang w:val="en-US" w:eastAsia="zh-CN"/>
        </w:rPr>
        <w:t>指南</w:t>
      </w:r>
      <w:r>
        <w:rPr>
          <w:color w:val="auto"/>
        </w:rPr>
        <w:t>执行。</w:t>
      </w:r>
    </w:p>
    <w:p w14:paraId="757C910E">
      <w:pPr>
        <w:pStyle w:val="4"/>
        <w:ind w:left="0" w:leftChars="0"/>
        <w:outlineLvl w:val="1"/>
        <w:rPr>
          <w:color w:val="auto"/>
        </w:rPr>
      </w:pPr>
      <w:bookmarkStart w:id="3" w:name="_Toc20809"/>
      <w:r>
        <w:rPr>
          <w:color w:val="auto"/>
        </w:rPr>
        <w:t>1.3 术语与定义</w:t>
      </w:r>
      <w:bookmarkEnd w:id="3"/>
    </w:p>
    <w:p w14:paraId="3622F8C6">
      <w:pPr>
        <w:pStyle w:val="5"/>
        <w:ind w:left="0" w:leftChars="0"/>
        <w:outlineLvl w:val="2"/>
        <w:rPr>
          <w:color w:val="auto"/>
        </w:rPr>
      </w:pPr>
      <w:bookmarkStart w:id="4" w:name="_Toc6723"/>
      <w:r>
        <w:rPr>
          <w:color w:val="auto"/>
        </w:rPr>
        <w:t>1.3.1 轴承产业商业秘密</w:t>
      </w:r>
      <w:bookmarkEnd w:id="4"/>
    </w:p>
    <w:p w14:paraId="1DB89B51">
      <w:pPr>
        <w:pStyle w:val="21"/>
        <w:rPr>
          <w:color w:val="auto"/>
        </w:rPr>
      </w:pPr>
      <w:r>
        <w:rPr>
          <w:color w:val="auto"/>
        </w:rPr>
        <w:t>指轴承企业在生产经营过程中形成的，不为公众所知悉、具有商业价值并经权利人采取相应保密措施的技术信息和经营信息。其中，技术信息涵盖轴承设计、制造、检测等环节的核心数据与工艺，经营信息涉及客户、供应链、市场策略等关键内容，具体范围见本体系 “商业秘密事项管理” 章节。</w:t>
      </w:r>
    </w:p>
    <w:p w14:paraId="4B6D44B4">
      <w:pPr>
        <w:pStyle w:val="5"/>
        <w:ind w:left="0" w:leftChars="0"/>
        <w:outlineLvl w:val="2"/>
        <w:rPr>
          <w:color w:val="auto"/>
        </w:rPr>
      </w:pPr>
      <w:bookmarkStart w:id="5" w:name="_Toc22263"/>
      <w:r>
        <w:rPr>
          <w:color w:val="auto"/>
        </w:rPr>
        <w:t>1.3.2 技术信息</w:t>
      </w:r>
      <w:bookmarkEnd w:id="5"/>
    </w:p>
    <w:p w14:paraId="07E7F63C">
      <w:pPr>
        <w:pStyle w:val="21"/>
        <w:rPr>
          <w:color w:val="auto"/>
        </w:rPr>
      </w:pPr>
      <w:r>
        <w:rPr>
          <w:color w:val="auto"/>
        </w:rPr>
        <w:t>与轴承研发、生产、检测相关的技术数据与方案，包括但不限于：</w:t>
      </w:r>
    </w:p>
    <w:p w14:paraId="7ED16C86">
      <w:pPr>
        <w:pStyle w:val="21"/>
        <w:numPr>
          <w:ilvl w:val="0"/>
          <w:numId w:val="0"/>
        </w:numPr>
        <w:ind w:left="288" w:leftChars="0" w:hanging="288" w:firstLineChars="0"/>
        <w:rPr>
          <w:color w:val="auto"/>
        </w:rPr>
      </w:pPr>
      <w:r>
        <w:rPr>
          <w:color w:val="auto"/>
        </w:rPr>
        <w:t>产品设计类：轴承结构设计图纸（含 CAD 三维模型）、公差配合参数、材料选型标准、密封与润滑方案；</w:t>
      </w:r>
    </w:p>
    <w:p w14:paraId="163F967B">
      <w:pPr>
        <w:pStyle w:val="21"/>
        <w:numPr>
          <w:ilvl w:val="0"/>
          <w:numId w:val="0"/>
        </w:numPr>
        <w:ind w:left="288" w:leftChars="0" w:hanging="288" w:firstLineChars="0"/>
        <w:rPr>
          <w:color w:val="auto"/>
        </w:rPr>
      </w:pPr>
      <w:r>
        <w:rPr>
          <w:color w:val="auto"/>
        </w:rPr>
        <w:t>制造工艺类：</w:t>
      </w:r>
      <w:r>
        <w:rPr>
          <w:rFonts w:hint="eastAsia"/>
          <w:color w:val="auto"/>
          <w:lang w:val="en-US" w:eastAsia="zh-CN"/>
        </w:rPr>
        <w:t>滚动体，保持器，</w:t>
      </w:r>
      <w:r>
        <w:rPr>
          <w:color w:val="auto"/>
        </w:rPr>
        <w:t>锻造温度曲线</w:t>
      </w:r>
      <w:r>
        <w:rPr>
          <w:rFonts w:hint="eastAsia"/>
          <w:color w:val="auto"/>
          <w:lang w:eastAsia="zh-CN"/>
        </w:rPr>
        <w:t>，</w:t>
      </w:r>
      <w:r>
        <w:rPr>
          <w:rFonts w:hint="eastAsia"/>
          <w:color w:val="auto"/>
        </w:rPr>
        <w:t>锻造工装、模具图纸及实物以及库房</w:t>
      </w:r>
      <w:r>
        <w:rPr>
          <w:rFonts w:hint="eastAsia"/>
          <w:color w:val="auto"/>
          <w:lang w:eastAsia="zh-CN"/>
        </w:rPr>
        <w:t>，</w:t>
      </w:r>
      <w:r>
        <w:rPr>
          <w:rFonts w:hint="eastAsia"/>
          <w:color w:val="auto"/>
        </w:rPr>
        <w:t>车加工专用工装图纸、实物以及库房</w:t>
      </w:r>
      <w:r>
        <w:rPr>
          <w:rFonts w:hint="eastAsia"/>
          <w:color w:val="auto"/>
          <w:lang w:eastAsia="zh-CN"/>
        </w:rPr>
        <w:t>，</w:t>
      </w:r>
      <w:r>
        <w:rPr>
          <w:rFonts w:hint="eastAsia"/>
          <w:color w:val="auto"/>
        </w:rPr>
        <w:t>专用夹具图纸、实物及库房</w:t>
      </w:r>
      <w:r>
        <w:rPr>
          <w:rFonts w:hint="eastAsia"/>
          <w:color w:val="auto"/>
          <w:lang w:eastAsia="zh-CN"/>
        </w:rPr>
        <w:t>，</w:t>
      </w:r>
      <w:r>
        <w:rPr>
          <w:rFonts w:hint="eastAsia"/>
          <w:color w:val="auto"/>
        </w:rPr>
        <w:t>锻造温度闭环控制的</w:t>
      </w:r>
      <w:r>
        <w:rPr>
          <w:rFonts w:hint="eastAsia"/>
          <w:color w:val="auto"/>
          <w:lang w:val="en-US" w:eastAsia="zh-CN"/>
        </w:rPr>
        <w:t>相关</w:t>
      </w:r>
      <w:r>
        <w:rPr>
          <w:rFonts w:hint="eastAsia"/>
          <w:color w:val="auto"/>
        </w:rPr>
        <w:t>技术资料</w:t>
      </w:r>
      <w:r>
        <w:rPr>
          <w:rFonts w:hint="eastAsia"/>
          <w:color w:val="auto"/>
          <w:lang w:eastAsia="zh-CN"/>
        </w:rPr>
        <w:t>，</w:t>
      </w:r>
      <w:r>
        <w:rPr>
          <w:color w:val="auto"/>
        </w:rPr>
        <w:t>热处理工艺参数（淬火介质配方、回火温度与时间）</w:t>
      </w:r>
      <w:r>
        <w:rPr>
          <w:rFonts w:hint="eastAsia"/>
          <w:color w:val="auto"/>
          <w:lang w:eastAsia="zh-CN"/>
        </w:rPr>
        <w:t>，</w:t>
      </w:r>
      <w:r>
        <w:rPr>
          <w:color w:val="auto"/>
        </w:rPr>
        <w:t>磨削加工进给量与精度控制标准</w:t>
      </w:r>
      <w:r>
        <w:rPr>
          <w:rFonts w:hint="eastAsia"/>
          <w:color w:val="auto"/>
          <w:lang w:eastAsia="zh-CN"/>
        </w:rPr>
        <w:t>，</w:t>
      </w:r>
      <w:r>
        <w:rPr>
          <w:color w:val="auto"/>
        </w:rPr>
        <w:t>装配工序流程；</w:t>
      </w:r>
    </w:p>
    <w:p w14:paraId="505711F8">
      <w:pPr>
        <w:pStyle w:val="21"/>
        <w:numPr>
          <w:ilvl w:val="0"/>
          <w:numId w:val="0"/>
        </w:numPr>
        <w:ind w:left="288" w:leftChars="0" w:hanging="288" w:firstLineChars="0"/>
        <w:rPr>
          <w:color w:val="auto"/>
        </w:rPr>
      </w:pPr>
      <w:r>
        <w:rPr>
          <w:color w:val="auto"/>
        </w:rPr>
        <w:t>检测技术类：性能检测方法（如寿命测试加载参数、振动噪声检测算法）、缺陷识别标准、专用检测设备校准数据；</w:t>
      </w:r>
    </w:p>
    <w:p w14:paraId="470D2818">
      <w:pPr>
        <w:pStyle w:val="21"/>
        <w:numPr>
          <w:ilvl w:val="0"/>
          <w:numId w:val="0"/>
        </w:numPr>
        <w:ind w:left="288" w:leftChars="0" w:hanging="288" w:firstLineChars="0"/>
        <w:rPr>
          <w:color w:val="auto"/>
        </w:rPr>
      </w:pPr>
      <w:r>
        <w:rPr>
          <w:color w:val="auto"/>
        </w:rPr>
        <w:t>设备技术类：专用机床（如数控磨床）改造方案、生产线自动化控制程序、核心设备维护手册。</w:t>
      </w:r>
    </w:p>
    <w:p w14:paraId="3C3B9174">
      <w:pPr>
        <w:pStyle w:val="5"/>
        <w:ind w:left="0" w:leftChars="0"/>
        <w:outlineLvl w:val="2"/>
        <w:rPr>
          <w:color w:val="auto"/>
        </w:rPr>
      </w:pPr>
      <w:bookmarkStart w:id="6" w:name="_Toc16361"/>
      <w:r>
        <w:rPr>
          <w:color w:val="auto"/>
        </w:rPr>
        <w:t>1.3.3 经营信息</w:t>
      </w:r>
      <w:bookmarkEnd w:id="6"/>
    </w:p>
    <w:p w14:paraId="284B436F">
      <w:pPr>
        <w:pStyle w:val="21"/>
        <w:rPr>
          <w:color w:val="auto"/>
        </w:rPr>
      </w:pPr>
      <w:r>
        <w:rPr>
          <w:color w:val="auto"/>
        </w:rPr>
        <w:t>与轴承企业经营活动相关的核心数据与策略，包括但不限于：</w:t>
      </w:r>
    </w:p>
    <w:p w14:paraId="398CC3FB">
      <w:pPr>
        <w:pStyle w:val="21"/>
        <w:numPr>
          <w:ilvl w:val="0"/>
          <w:numId w:val="0"/>
        </w:numPr>
        <w:ind w:left="288" w:leftChars="0" w:hanging="288" w:firstLineChars="0"/>
        <w:rPr>
          <w:color w:val="auto"/>
        </w:rPr>
      </w:pPr>
      <w:r>
        <w:rPr>
          <w:color w:val="auto"/>
        </w:rPr>
        <w:t>客户信息：客户名称、联系方式、采购周期、定制化需求（如特定工况下的轴承性能要求）、价格承受能力、信用等级；</w:t>
      </w:r>
    </w:p>
    <w:p w14:paraId="7614AABB">
      <w:pPr>
        <w:pStyle w:val="21"/>
        <w:numPr>
          <w:ilvl w:val="0"/>
          <w:numId w:val="0"/>
        </w:numPr>
        <w:ind w:left="288" w:leftChars="0" w:hanging="288" w:firstLineChars="0"/>
        <w:rPr>
          <w:color w:val="auto"/>
        </w:rPr>
      </w:pPr>
      <w:r>
        <w:rPr>
          <w:color w:val="auto"/>
        </w:rPr>
        <w:t>供应链信息：关键原材料（如高纯度轴承钢）供应商名单、采购价格与长期合作协议条款、零部件替代供应商储备方案；</w:t>
      </w:r>
    </w:p>
    <w:p w14:paraId="294A74D7">
      <w:pPr>
        <w:pStyle w:val="21"/>
        <w:numPr>
          <w:ilvl w:val="0"/>
          <w:numId w:val="0"/>
        </w:numPr>
        <w:ind w:left="288" w:leftChars="0" w:hanging="288" w:firstLineChars="0"/>
        <w:rPr>
          <w:color w:val="auto"/>
        </w:rPr>
      </w:pPr>
      <w:r>
        <w:rPr>
          <w:color w:val="auto"/>
        </w:rPr>
        <w:t>市场策略：新产品上市计划、定价机制、区域市场布局方案、招投标标底、竞争对手分析报告；</w:t>
      </w:r>
    </w:p>
    <w:p w14:paraId="7542501C">
      <w:pPr>
        <w:pStyle w:val="21"/>
        <w:numPr>
          <w:ilvl w:val="0"/>
          <w:numId w:val="0"/>
        </w:numPr>
        <w:ind w:left="288" w:leftChars="0" w:hanging="288" w:firstLineChars="0"/>
        <w:rPr>
          <w:color w:val="auto"/>
        </w:rPr>
      </w:pPr>
      <w:r>
        <w:rPr>
          <w:color w:val="auto"/>
        </w:rPr>
        <w:t>财务信息：未公开的成本核算数据、利润率、投融资计划、研发投入预算。</w:t>
      </w:r>
    </w:p>
    <w:p w14:paraId="100C98DB">
      <w:pPr>
        <w:pStyle w:val="5"/>
        <w:ind w:left="0" w:leftChars="0"/>
        <w:outlineLvl w:val="2"/>
        <w:rPr>
          <w:color w:val="auto"/>
        </w:rPr>
      </w:pPr>
      <w:bookmarkStart w:id="7" w:name="_Toc13849"/>
      <w:r>
        <w:rPr>
          <w:color w:val="auto"/>
        </w:rPr>
        <w:t>1.3.4 涉密人员</w:t>
      </w:r>
      <w:bookmarkEnd w:id="7"/>
    </w:p>
    <w:p w14:paraId="60BE5CCF">
      <w:pPr>
        <w:pStyle w:val="21"/>
        <w:rPr>
          <w:color w:val="auto"/>
        </w:rPr>
      </w:pPr>
      <w:r>
        <w:rPr>
          <w:color w:val="auto"/>
        </w:rPr>
        <w:t>因岗位职责或业务合作需要，接触、知悉、管理轴承企业商业秘密的人员，包括：</w:t>
      </w:r>
    </w:p>
    <w:p w14:paraId="2B424DAE">
      <w:pPr>
        <w:pStyle w:val="21"/>
        <w:numPr>
          <w:ilvl w:val="0"/>
          <w:numId w:val="0"/>
        </w:numPr>
        <w:ind w:left="288" w:leftChars="0" w:hanging="288" w:firstLineChars="0"/>
        <w:rPr>
          <w:color w:val="auto"/>
        </w:rPr>
      </w:pPr>
      <w:r>
        <w:rPr>
          <w:color w:val="auto"/>
        </w:rPr>
        <w:t>内部人员：研发工程师、工艺技术员、检测专员、采购经理、销售主管、高管及涉密区域管理员；</w:t>
      </w:r>
    </w:p>
    <w:p w14:paraId="71CFBA44">
      <w:pPr>
        <w:pStyle w:val="21"/>
        <w:numPr>
          <w:ilvl w:val="0"/>
          <w:numId w:val="0"/>
        </w:numPr>
        <w:ind w:left="288" w:leftChars="0" w:hanging="288" w:firstLineChars="0"/>
        <w:rPr>
          <w:color w:val="auto"/>
        </w:rPr>
      </w:pPr>
      <w:r>
        <w:rPr>
          <w:color w:val="auto"/>
        </w:rPr>
        <w:t>外部人员：合作供应商代表、客户技术对接人员、第三方检测机构人员、临时施工与维修人员。</w:t>
      </w:r>
    </w:p>
    <w:p w14:paraId="5ABBE00D">
      <w:pPr>
        <w:pStyle w:val="5"/>
        <w:ind w:left="0" w:leftChars="0"/>
        <w:outlineLvl w:val="2"/>
        <w:rPr>
          <w:color w:val="auto"/>
        </w:rPr>
      </w:pPr>
      <w:bookmarkStart w:id="8" w:name="_Toc21987"/>
      <w:r>
        <w:rPr>
          <w:color w:val="auto"/>
        </w:rPr>
        <w:t>1.3.5 涉密载体</w:t>
      </w:r>
      <w:bookmarkEnd w:id="8"/>
    </w:p>
    <w:p w14:paraId="57090A18">
      <w:pPr>
        <w:pStyle w:val="21"/>
        <w:rPr>
          <w:color w:val="auto"/>
        </w:rPr>
      </w:pPr>
      <w:r>
        <w:rPr>
          <w:color w:val="auto"/>
        </w:rPr>
        <w:t>以文字、数据、符号、图形、实物等形式记载轴承企业商业秘密的介质，包括：</w:t>
      </w:r>
    </w:p>
    <w:p w14:paraId="47DF14F3">
      <w:pPr>
        <w:pStyle w:val="21"/>
        <w:numPr>
          <w:ilvl w:val="0"/>
          <w:numId w:val="0"/>
        </w:numPr>
        <w:ind w:left="288" w:leftChars="0" w:hanging="288" w:firstLineChars="0"/>
        <w:rPr>
          <w:color w:val="auto"/>
        </w:rPr>
      </w:pPr>
      <w:r>
        <w:rPr>
          <w:color w:val="auto"/>
        </w:rPr>
        <w:t>纸质载体：设计图纸、工艺文件、客户合同、财务报表、检测报告；</w:t>
      </w:r>
    </w:p>
    <w:p w14:paraId="2E0F2C7C">
      <w:pPr>
        <w:pStyle w:val="21"/>
        <w:numPr>
          <w:ilvl w:val="0"/>
          <w:numId w:val="0"/>
        </w:numPr>
        <w:ind w:left="288" w:leftChars="0" w:hanging="288" w:firstLineChars="0"/>
        <w:rPr>
          <w:color w:val="auto"/>
        </w:rPr>
      </w:pPr>
      <w:r>
        <w:rPr>
          <w:color w:val="auto"/>
        </w:rPr>
        <w:t>电子载体：计算机硬盘、U 盘、移动硬盘、光盘、服务器数据库、云存储文件；</w:t>
      </w:r>
    </w:p>
    <w:p w14:paraId="3BBD3B35">
      <w:pPr>
        <w:pStyle w:val="21"/>
        <w:numPr>
          <w:ilvl w:val="0"/>
          <w:numId w:val="0"/>
        </w:numPr>
        <w:ind w:left="288" w:leftChars="0" w:hanging="288" w:firstLineChars="0"/>
        <w:rPr>
          <w:color w:val="auto"/>
        </w:rPr>
      </w:pPr>
      <w:r>
        <w:rPr>
          <w:color w:val="auto"/>
        </w:rPr>
        <w:t>实物载体：轴承样品（未量产型号）、专用模具、核心设备零部件、热处理试块。</w:t>
      </w:r>
    </w:p>
    <w:p w14:paraId="2C7582C9">
      <w:pPr>
        <w:pStyle w:val="5"/>
        <w:ind w:left="0" w:leftChars="0"/>
        <w:outlineLvl w:val="2"/>
        <w:rPr>
          <w:color w:val="auto"/>
        </w:rPr>
      </w:pPr>
      <w:bookmarkStart w:id="9" w:name="_Toc28449"/>
      <w:r>
        <w:rPr>
          <w:color w:val="auto"/>
        </w:rPr>
        <w:t>1.3.6 涉密区域</w:t>
      </w:r>
      <w:bookmarkEnd w:id="9"/>
    </w:p>
    <w:p w14:paraId="0718FCC0">
      <w:pPr>
        <w:pStyle w:val="21"/>
        <w:rPr>
          <w:color w:val="auto"/>
        </w:rPr>
      </w:pPr>
      <w:r>
        <w:rPr>
          <w:color w:val="auto"/>
        </w:rPr>
        <w:t>轴承企业内涉及商业秘密存储、处理或使用的特定场所，包括：</w:t>
      </w:r>
    </w:p>
    <w:p w14:paraId="3D930349">
      <w:pPr>
        <w:pStyle w:val="21"/>
        <w:numPr>
          <w:ilvl w:val="0"/>
          <w:numId w:val="0"/>
        </w:numPr>
        <w:ind w:left="288" w:leftChars="0" w:hanging="288" w:firstLineChars="0"/>
        <w:rPr>
          <w:color w:val="auto"/>
        </w:rPr>
      </w:pPr>
      <w:r>
        <w:rPr>
          <w:color w:val="auto"/>
        </w:rPr>
        <w:t>研发类：设计工作室、实验室、样品试制间；</w:t>
      </w:r>
    </w:p>
    <w:p w14:paraId="1AD4F151">
      <w:pPr>
        <w:pStyle w:val="21"/>
        <w:numPr>
          <w:ilvl w:val="0"/>
          <w:numId w:val="0"/>
        </w:numPr>
        <w:ind w:left="288" w:leftChars="0" w:hanging="288" w:firstLineChars="0"/>
        <w:rPr>
          <w:color w:val="auto"/>
        </w:rPr>
      </w:pPr>
      <w:r>
        <w:rPr>
          <w:color w:val="auto"/>
        </w:rPr>
        <w:t>生产类：热处理车间、精密磨削车间、装配核心工序区；</w:t>
      </w:r>
    </w:p>
    <w:p w14:paraId="27A83668">
      <w:pPr>
        <w:pStyle w:val="21"/>
        <w:numPr>
          <w:ilvl w:val="0"/>
          <w:numId w:val="0"/>
        </w:numPr>
        <w:ind w:left="288" w:leftChars="0" w:hanging="288" w:firstLineChars="0"/>
        <w:rPr>
          <w:color w:val="auto"/>
        </w:rPr>
      </w:pPr>
      <w:r>
        <w:rPr>
          <w:color w:val="auto"/>
        </w:rPr>
        <w:t>存储类：涉密文件档案室、样品库、核心设备备件库；</w:t>
      </w:r>
    </w:p>
    <w:p w14:paraId="5B619D90">
      <w:pPr>
        <w:pStyle w:val="21"/>
        <w:numPr>
          <w:ilvl w:val="0"/>
          <w:numId w:val="0"/>
        </w:numPr>
        <w:ind w:left="288" w:leftChars="0" w:hanging="288" w:firstLineChars="0"/>
        <w:rPr>
          <w:color w:val="auto"/>
        </w:rPr>
      </w:pPr>
      <w:r>
        <w:rPr>
          <w:color w:val="auto"/>
        </w:rPr>
        <w:t>管理类：高管办公室、财务数据处理室、服务器机房。</w:t>
      </w:r>
    </w:p>
    <w:p w14:paraId="0E43C1B1">
      <w:pPr>
        <w:pStyle w:val="3"/>
        <w:ind w:left="0" w:leftChars="0"/>
        <w:outlineLvl w:val="0"/>
        <w:rPr>
          <w:color w:val="auto"/>
        </w:rPr>
      </w:pPr>
      <w:bookmarkStart w:id="10" w:name="_Toc31366"/>
      <w:r>
        <w:rPr>
          <w:color w:val="auto"/>
        </w:rPr>
        <w:t>二、商业秘密保护原则</w:t>
      </w:r>
      <w:bookmarkEnd w:id="10"/>
    </w:p>
    <w:p w14:paraId="72AB0392">
      <w:pPr>
        <w:pStyle w:val="4"/>
        <w:ind w:left="0" w:leftChars="0"/>
        <w:outlineLvl w:val="1"/>
        <w:rPr>
          <w:color w:val="auto"/>
        </w:rPr>
      </w:pPr>
      <w:bookmarkStart w:id="11" w:name="_Toc20524"/>
      <w:r>
        <w:rPr>
          <w:color w:val="auto"/>
        </w:rPr>
        <w:t>2.1 战略导向原则</w:t>
      </w:r>
      <w:bookmarkEnd w:id="11"/>
    </w:p>
    <w:p w14:paraId="09F07E8D">
      <w:pPr>
        <w:pStyle w:val="21"/>
        <w:rPr>
          <w:color w:val="auto"/>
        </w:rPr>
      </w:pPr>
      <w:r>
        <w:rPr>
          <w:color w:val="auto"/>
        </w:rPr>
        <w:t>轴承企业应将商业秘密保护纳入企业发展战略与知识产权战略，与技术研发、市场拓展、人才管理等工作深度融合。例如，在新产品研发立项阶段，同步制定 “专利 + 商业秘密” 协同保护方案：对易公开的结构设计申请专利，对核心热处理工艺参数采取商业秘密保护；在海外市场布局时，提前评估目标国商业秘密保护法规，制定跨境泄密风险应对策略。</w:t>
      </w:r>
    </w:p>
    <w:p w14:paraId="5BF1E9EC">
      <w:pPr>
        <w:pStyle w:val="4"/>
        <w:ind w:left="0" w:leftChars="0"/>
        <w:outlineLvl w:val="1"/>
        <w:rPr>
          <w:color w:val="auto"/>
        </w:rPr>
      </w:pPr>
      <w:bookmarkStart w:id="12" w:name="_Toc12325"/>
      <w:r>
        <w:rPr>
          <w:color w:val="auto"/>
        </w:rPr>
        <w:t>2.2 全流程管控原则</w:t>
      </w:r>
      <w:bookmarkEnd w:id="12"/>
    </w:p>
    <w:p w14:paraId="392EED7B">
      <w:pPr>
        <w:pStyle w:val="21"/>
        <w:rPr>
          <w:color w:val="auto"/>
        </w:rPr>
      </w:pPr>
      <w:r>
        <w:rPr>
          <w:color w:val="auto"/>
        </w:rPr>
        <w:t>商业秘密保护贯穿轴承企业研发、生产、采购、销售、售后全产业链环节，实现 “从产生到销毁” 的全生命周期管理。具体包括：</w:t>
      </w:r>
    </w:p>
    <w:p w14:paraId="209E8D1E">
      <w:pPr>
        <w:pStyle w:val="21"/>
        <w:numPr>
          <w:ilvl w:val="0"/>
          <w:numId w:val="0"/>
        </w:numPr>
        <w:ind w:left="288" w:leftChars="0" w:hanging="288" w:firstLineChars="0"/>
        <w:rPr>
          <w:color w:val="auto"/>
        </w:rPr>
      </w:pPr>
      <w:r>
        <w:rPr>
          <w:color w:val="auto"/>
        </w:rPr>
        <w:t>研发环节：对设计图纸实行版本控制与加密存储，禁止私自拷贝；</w:t>
      </w:r>
    </w:p>
    <w:p w14:paraId="70EAC77C">
      <w:pPr>
        <w:pStyle w:val="21"/>
        <w:numPr>
          <w:ilvl w:val="0"/>
          <w:numId w:val="0"/>
        </w:numPr>
        <w:ind w:left="288" w:leftChars="0" w:hanging="288" w:firstLineChars="0"/>
        <w:rPr>
          <w:color w:val="auto"/>
        </w:rPr>
      </w:pPr>
      <w:r>
        <w:rPr>
          <w:color w:val="auto"/>
        </w:rPr>
        <w:t>生产环节：对热处理工艺参数实行权限分级管理，仅允许核心技术员查看；</w:t>
      </w:r>
    </w:p>
    <w:p w14:paraId="33D7C5EE">
      <w:pPr>
        <w:pStyle w:val="21"/>
        <w:numPr>
          <w:ilvl w:val="0"/>
          <w:numId w:val="0"/>
        </w:numPr>
        <w:ind w:left="288" w:leftChars="0" w:hanging="288" w:firstLineChars="0"/>
        <w:rPr>
          <w:color w:val="auto"/>
        </w:rPr>
      </w:pPr>
      <w:r>
        <w:rPr>
          <w:color w:val="auto"/>
        </w:rPr>
        <w:t>采购环节：与供应商签订保密协议，明确原材料采购信息的保密义务；</w:t>
      </w:r>
    </w:p>
    <w:p w14:paraId="615330BE">
      <w:pPr>
        <w:pStyle w:val="21"/>
        <w:numPr>
          <w:ilvl w:val="0"/>
          <w:numId w:val="0"/>
        </w:numPr>
        <w:ind w:left="288" w:leftChars="0" w:hanging="288" w:firstLineChars="0"/>
        <w:rPr>
          <w:color w:val="auto"/>
        </w:rPr>
      </w:pPr>
      <w:r>
        <w:rPr>
          <w:color w:val="auto"/>
        </w:rPr>
        <w:t>售后环节：对客户反馈的定制化需求数据进行加密管理，避免泄露给竞争对手。</w:t>
      </w:r>
    </w:p>
    <w:p w14:paraId="57A71925">
      <w:pPr>
        <w:pStyle w:val="4"/>
        <w:ind w:left="0" w:leftChars="0"/>
        <w:outlineLvl w:val="1"/>
        <w:rPr>
          <w:color w:val="auto"/>
        </w:rPr>
      </w:pPr>
      <w:bookmarkStart w:id="13" w:name="_Toc21547"/>
      <w:r>
        <w:rPr>
          <w:color w:val="auto"/>
        </w:rPr>
        <w:t>2.3 分级分类原则</w:t>
      </w:r>
      <w:bookmarkEnd w:id="13"/>
    </w:p>
    <w:p w14:paraId="0F395711">
      <w:pPr>
        <w:pStyle w:val="21"/>
        <w:rPr>
          <w:color w:val="auto"/>
        </w:rPr>
      </w:pPr>
      <w:r>
        <w:rPr>
          <w:color w:val="auto"/>
        </w:rPr>
        <w:t>根据商业秘密泄露后对企业造成的损失程度，将轴承企业商业秘密划分为</w:t>
      </w:r>
      <w:r>
        <w:rPr>
          <w:b/>
          <w:bCs/>
          <w:color w:val="auto"/>
        </w:rPr>
        <w:t>核心秘密</w:t>
      </w:r>
      <w:r>
        <w:rPr>
          <w:color w:val="auto"/>
        </w:rPr>
        <w:t>、</w:t>
      </w:r>
      <w:r>
        <w:rPr>
          <w:b/>
          <w:bCs/>
          <w:color w:val="auto"/>
        </w:rPr>
        <w:t>重要秘密</w:t>
      </w:r>
      <w:r>
        <w:rPr>
          <w:color w:val="auto"/>
        </w:rPr>
        <w:t>、</w:t>
      </w:r>
      <w:r>
        <w:rPr>
          <w:b/>
          <w:bCs/>
          <w:color w:val="auto"/>
        </w:rPr>
        <w:t>一般秘密</w:t>
      </w:r>
      <w:r>
        <w:rPr>
          <w:color w:val="auto"/>
        </w:rPr>
        <w:t>三级，采取差异化保护措施：</w:t>
      </w:r>
    </w:p>
    <w:tbl>
      <w:tblPr>
        <w:tblStyle w:val="15"/>
        <w:tblpPr w:leftFromText="180" w:rightFromText="180" w:vertAnchor="text" w:horzAnchor="page" w:tblpX="1415" w:tblpY="40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2270"/>
        <w:gridCol w:w="2364"/>
        <w:gridCol w:w="2316"/>
        <w:gridCol w:w="2316"/>
      </w:tblGrid>
      <w:tr w14:paraId="45BA4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27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B23374F">
            <w:pPr>
              <w:pStyle w:val="21"/>
              <w:jc w:val="center"/>
              <w:rPr>
                <w:color w:val="auto"/>
              </w:rPr>
            </w:pPr>
            <w:r>
              <w:rPr>
                <w:color w:val="auto"/>
              </w:rPr>
              <w:t>密级</w:t>
            </w:r>
          </w:p>
        </w:tc>
        <w:tc>
          <w:tcPr>
            <w:tcW w:w="2364"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6DD628F0">
            <w:pPr>
              <w:pStyle w:val="21"/>
              <w:jc w:val="center"/>
              <w:rPr>
                <w:color w:val="auto"/>
              </w:rPr>
            </w:pPr>
            <w:r>
              <w:rPr>
                <w:color w:val="auto"/>
              </w:rPr>
              <w:t>定义</w:t>
            </w:r>
          </w:p>
        </w:tc>
        <w:tc>
          <w:tcPr>
            <w:tcW w:w="2316"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D6AC307">
            <w:pPr>
              <w:pStyle w:val="21"/>
              <w:jc w:val="center"/>
              <w:rPr>
                <w:color w:val="auto"/>
              </w:rPr>
            </w:pPr>
            <w:r>
              <w:rPr>
                <w:color w:val="auto"/>
              </w:rPr>
              <w:t>举例</w:t>
            </w:r>
          </w:p>
        </w:tc>
        <w:tc>
          <w:tcPr>
            <w:tcW w:w="2316"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E56C891">
            <w:pPr>
              <w:pStyle w:val="21"/>
              <w:jc w:val="center"/>
              <w:rPr>
                <w:color w:val="auto"/>
              </w:rPr>
            </w:pPr>
            <w:r>
              <w:rPr>
                <w:color w:val="auto"/>
              </w:rPr>
              <w:t>保护措施</w:t>
            </w:r>
          </w:p>
        </w:tc>
      </w:tr>
      <w:tr w14:paraId="1200D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27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73D97192">
            <w:pPr>
              <w:pStyle w:val="21"/>
              <w:jc w:val="center"/>
              <w:rPr>
                <w:color w:val="auto"/>
              </w:rPr>
            </w:pPr>
            <w:r>
              <w:rPr>
                <w:color w:val="auto"/>
              </w:rPr>
              <w:t>核心秘密</w:t>
            </w:r>
          </w:p>
        </w:tc>
        <w:tc>
          <w:tcPr>
            <w:tcW w:w="2364"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0761551">
            <w:pPr>
              <w:pStyle w:val="21"/>
              <w:jc w:val="center"/>
              <w:rPr>
                <w:color w:val="auto"/>
              </w:rPr>
            </w:pPr>
            <w:r>
              <w:rPr>
                <w:color w:val="auto"/>
              </w:rPr>
              <w:t>泄露后导致企业丧失核心竞争力，造成重大经济损失（如年营收 10% 以上）</w:t>
            </w:r>
          </w:p>
        </w:tc>
        <w:tc>
          <w:tcPr>
            <w:tcW w:w="2316"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65DBF49">
            <w:pPr>
              <w:pStyle w:val="21"/>
              <w:jc w:val="center"/>
              <w:rPr>
                <w:color w:val="auto"/>
              </w:rPr>
            </w:pPr>
            <w:r>
              <w:rPr>
                <w:color w:val="auto"/>
              </w:rPr>
              <w:t>热处理淬火介质配方、风电轴承寿命测试核心参数</w:t>
            </w:r>
          </w:p>
        </w:tc>
        <w:tc>
          <w:tcPr>
            <w:tcW w:w="2316"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5844D98">
            <w:pPr>
              <w:pStyle w:val="21"/>
              <w:jc w:val="center"/>
              <w:rPr>
                <w:color w:val="auto"/>
              </w:rPr>
            </w:pPr>
            <w:r>
              <w:rPr>
                <w:color w:val="auto"/>
              </w:rPr>
              <w:t>双人双锁存储、全程视频监控、访问需最高管理层审批</w:t>
            </w:r>
          </w:p>
        </w:tc>
      </w:tr>
      <w:tr w14:paraId="407DC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27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034D484">
            <w:pPr>
              <w:pStyle w:val="21"/>
              <w:jc w:val="center"/>
              <w:rPr>
                <w:color w:val="auto"/>
              </w:rPr>
            </w:pPr>
            <w:r>
              <w:rPr>
                <w:color w:val="auto"/>
              </w:rPr>
              <w:t>重要秘密</w:t>
            </w:r>
          </w:p>
        </w:tc>
        <w:tc>
          <w:tcPr>
            <w:tcW w:w="2364"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850E6CF">
            <w:pPr>
              <w:pStyle w:val="21"/>
              <w:jc w:val="center"/>
              <w:rPr>
                <w:color w:val="auto"/>
              </w:rPr>
            </w:pPr>
            <w:r>
              <w:rPr>
                <w:color w:val="auto"/>
              </w:rPr>
              <w:t>泄露后影响企业市场份额，造成较大经济损失（如年营收 3%-10%）</w:t>
            </w:r>
          </w:p>
        </w:tc>
        <w:tc>
          <w:tcPr>
            <w:tcW w:w="2316"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2C1386A2">
            <w:pPr>
              <w:pStyle w:val="21"/>
              <w:jc w:val="center"/>
              <w:rPr>
                <w:color w:val="auto"/>
              </w:rPr>
            </w:pPr>
            <w:r>
              <w:rPr>
                <w:color w:val="auto"/>
              </w:rPr>
              <w:t>精密磨削加工工艺参数、主要客户定制需求</w:t>
            </w:r>
          </w:p>
        </w:tc>
        <w:tc>
          <w:tcPr>
            <w:tcW w:w="2316"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0BABDF3F">
            <w:pPr>
              <w:pStyle w:val="21"/>
              <w:jc w:val="center"/>
              <w:rPr>
                <w:color w:val="auto"/>
              </w:rPr>
            </w:pPr>
            <w:r>
              <w:rPr>
                <w:color w:val="auto"/>
              </w:rPr>
              <w:t>加密存储、访问需部门负责人审批、定期审计</w:t>
            </w:r>
          </w:p>
        </w:tc>
      </w:tr>
      <w:tr w14:paraId="70C97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27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5C7C66A2">
            <w:pPr>
              <w:pStyle w:val="21"/>
              <w:jc w:val="center"/>
              <w:rPr>
                <w:color w:val="auto"/>
              </w:rPr>
            </w:pPr>
            <w:r>
              <w:rPr>
                <w:color w:val="auto"/>
              </w:rPr>
              <w:t>一般秘密</w:t>
            </w:r>
          </w:p>
        </w:tc>
        <w:tc>
          <w:tcPr>
            <w:tcW w:w="2364"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122FE8D9">
            <w:pPr>
              <w:pStyle w:val="21"/>
              <w:jc w:val="center"/>
              <w:rPr>
                <w:color w:val="auto"/>
              </w:rPr>
            </w:pPr>
            <w:r>
              <w:rPr>
                <w:color w:val="auto"/>
              </w:rPr>
              <w:t>泄露后对企业经营产生轻微影响，损失较小（如年营收 3% 以下）</w:t>
            </w:r>
          </w:p>
        </w:tc>
        <w:tc>
          <w:tcPr>
            <w:tcW w:w="2316"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90E04F7">
            <w:pPr>
              <w:pStyle w:val="21"/>
              <w:jc w:val="center"/>
              <w:rPr>
                <w:color w:val="auto"/>
              </w:rPr>
            </w:pPr>
            <w:r>
              <w:rPr>
                <w:color w:val="auto"/>
              </w:rPr>
              <w:t>普通客户基础信息、常规零部件采购价格</w:t>
            </w:r>
          </w:p>
        </w:tc>
        <w:tc>
          <w:tcPr>
            <w:tcW w:w="2316"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vAlign w:val="center"/>
          </w:tcPr>
          <w:p w14:paraId="45B6F0DC">
            <w:pPr>
              <w:pStyle w:val="21"/>
              <w:jc w:val="center"/>
              <w:rPr>
                <w:color w:val="auto"/>
              </w:rPr>
            </w:pPr>
            <w:r>
              <w:rPr>
                <w:color w:val="auto"/>
              </w:rPr>
              <w:t>专人管理、访问需岗位授权、定期核查</w:t>
            </w:r>
          </w:p>
        </w:tc>
      </w:tr>
    </w:tbl>
    <w:p w14:paraId="21B24B57">
      <w:pPr>
        <w:pStyle w:val="21"/>
        <w:rPr>
          <w:color w:val="auto"/>
        </w:rPr>
      </w:pPr>
    </w:p>
    <w:p w14:paraId="0093BA0C">
      <w:pPr>
        <w:pStyle w:val="4"/>
        <w:ind w:left="0" w:leftChars="0"/>
        <w:outlineLvl w:val="1"/>
        <w:rPr>
          <w:color w:val="auto"/>
        </w:rPr>
      </w:pPr>
      <w:bookmarkStart w:id="14" w:name="_Toc10291"/>
      <w:r>
        <w:rPr>
          <w:color w:val="auto"/>
        </w:rPr>
        <w:t>2.4 最小授权原则</w:t>
      </w:r>
      <w:bookmarkEnd w:id="14"/>
    </w:p>
    <w:p w14:paraId="4EBB3A57">
      <w:pPr>
        <w:pStyle w:val="21"/>
        <w:rPr>
          <w:color w:val="auto"/>
        </w:rPr>
      </w:pPr>
      <w:r>
        <w:rPr>
          <w:color w:val="auto"/>
        </w:rPr>
        <w:t>严格控制商业秘密的知悉范围，仅向因工作需要的人员授权接触相关秘密，且权限与岗位职责匹配。例如：</w:t>
      </w:r>
    </w:p>
    <w:p w14:paraId="4380EDEB">
      <w:pPr>
        <w:pStyle w:val="21"/>
        <w:numPr>
          <w:ilvl w:val="0"/>
          <w:numId w:val="0"/>
        </w:numPr>
        <w:ind w:left="288" w:leftChars="0" w:hanging="288" w:firstLineChars="0"/>
        <w:rPr>
          <w:color w:val="auto"/>
        </w:rPr>
      </w:pPr>
      <w:r>
        <w:rPr>
          <w:color w:val="auto"/>
        </w:rPr>
        <w:t>研发工程师仅能访问其负责项目的设计图纸，无法查看其他项目核心数据；</w:t>
      </w:r>
    </w:p>
    <w:p w14:paraId="2C5930A8">
      <w:pPr>
        <w:pStyle w:val="21"/>
        <w:numPr>
          <w:ilvl w:val="0"/>
          <w:numId w:val="0"/>
        </w:numPr>
        <w:ind w:left="288" w:leftChars="0" w:hanging="288" w:firstLineChars="0"/>
        <w:rPr>
          <w:color w:val="auto"/>
        </w:rPr>
      </w:pPr>
      <w:r>
        <w:rPr>
          <w:color w:val="auto"/>
        </w:rPr>
        <w:t>采购专员仅能获取所负责品类的供应商信息，无法查看全品类采购价格体系；</w:t>
      </w:r>
    </w:p>
    <w:p w14:paraId="746A85D2">
      <w:pPr>
        <w:pStyle w:val="21"/>
        <w:numPr>
          <w:ilvl w:val="0"/>
          <w:numId w:val="0"/>
        </w:numPr>
        <w:ind w:left="288" w:leftChars="0" w:hanging="288" w:firstLineChars="0"/>
        <w:rPr>
          <w:color w:val="auto"/>
        </w:rPr>
      </w:pPr>
      <w:r>
        <w:rPr>
          <w:color w:val="auto"/>
        </w:rPr>
        <w:t>外部合作人员仅能接触与其业务相关的有限信息，禁止进入核心涉密区域。</w:t>
      </w:r>
    </w:p>
    <w:p w14:paraId="3AB7262A">
      <w:pPr>
        <w:pStyle w:val="4"/>
        <w:ind w:left="0" w:leftChars="0"/>
        <w:outlineLvl w:val="1"/>
        <w:rPr>
          <w:color w:val="auto"/>
        </w:rPr>
      </w:pPr>
      <w:bookmarkStart w:id="15" w:name="_Toc2047"/>
      <w:r>
        <w:rPr>
          <w:color w:val="auto"/>
        </w:rPr>
        <w:t>2.5 技术与管理结合原则</w:t>
      </w:r>
      <w:bookmarkEnd w:id="15"/>
    </w:p>
    <w:p w14:paraId="236A3A40">
      <w:pPr>
        <w:pStyle w:val="21"/>
        <w:rPr>
          <w:color w:val="auto"/>
        </w:rPr>
      </w:pPr>
      <w:r>
        <w:rPr>
          <w:color w:val="auto"/>
        </w:rPr>
        <w:t>综合运用技术手段与管理制度，构建 “人防 + 技防 + 制防” 三位一体的保护体系：</w:t>
      </w:r>
    </w:p>
    <w:p w14:paraId="2BDD072B">
      <w:pPr>
        <w:pStyle w:val="21"/>
        <w:numPr>
          <w:ilvl w:val="0"/>
          <w:numId w:val="0"/>
        </w:numPr>
        <w:ind w:left="288" w:leftChars="0" w:hanging="288" w:firstLineChars="0"/>
        <w:rPr>
          <w:color w:val="auto"/>
        </w:rPr>
      </w:pPr>
      <w:r>
        <w:rPr>
          <w:color w:val="auto"/>
        </w:rPr>
        <w:t>技术手段：涉密计算机加密、涉密区域门禁（指纹 + 人脸识别）、数据传输加密、电子文档水印；</w:t>
      </w:r>
    </w:p>
    <w:p w14:paraId="6EDE6E03">
      <w:pPr>
        <w:pStyle w:val="21"/>
        <w:numPr>
          <w:ilvl w:val="0"/>
          <w:numId w:val="0"/>
        </w:numPr>
        <w:ind w:left="288" w:leftChars="0" w:hanging="288" w:firstLineChars="0"/>
        <w:rPr>
          <w:color w:val="auto"/>
        </w:rPr>
      </w:pPr>
      <w:r>
        <w:rPr>
          <w:color w:val="auto"/>
        </w:rPr>
        <w:t>管理制度：涉密人员培训、保密协议签订、涉密载体登记、泄密事件应急预案；</w:t>
      </w:r>
    </w:p>
    <w:p w14:paraId="651F72B0">
      <w:pPr>
        <w:pStyle w:val="21"/>
        <w:numPr>
          <w:ilvl w:val="0"/>
          <w:numId w:val="0"/>
        </w:numPr>
        <w:ind w:left="288" w:leftChars="0" w:hanging="288" w:firstLineChars="0"/>
        <w:rPr>
          <w:color w:val="auto"/>
        </w:rPr>
      </w:pPr>
      <w:r>
        <w:rPr>
          <w:color w:val="auto"/>
        </w:rPr>
        <w:t>监督机制：定期保密检查、第三方风险评估、员工保密绩效考核。</w:t>
      </w:r>
    </w:p>
    <w:p w14:paraId="70453574">
      <w:pPr>
        <w:pStyle w:val="3"/>
        <w:ind w:left="0" w:leftChars="0"/>
        <w:outlineLvl w:val="0"/>
        <w:rPr>
          <w:color w:val="auto"/>
        </w:rPr>
      </w:pPr>
      <w:bookmarkStart w:id="16" w:name="_Toc16479"/>
      <w:r>
        <w:rPr>
          <w:color w:val="auto"/>
        </w:rPr>
        <w:t>三、商业秘密保护组织体系</w:t>
      </w:r>
      <w:bookmarkEnd w:id="16"/>
    </w:p>
    <w:p w14:paraId="37969B28">
      <w:pPr>
        <w:pStyle w:val="4"/>
        <w:ind w:left="0" w:leftChars="0"/>
        <w:outlineLvl w:val="1"/>
        <w:rPr>
          <w:color w:val="auto"/>
        </w:rPr>
      </w:pPr>
      <w:bookmarkStart w:id="17" w:name="_Toc3492"/>
      <w:r>
        <w:rPr>
          <w:color w:val="auto"/>
        </w:rPr>
        <w:t>3.1 组织架构设置</w:t>
      </w:r>
      <w:bookmarkEnd w:id="17"/>
    </w:p>
    <w:p w14:paraId="61D6C059">
      <w:pPr>
        <w:pStyle w:val="21"/>
        <w:rPr>
          <w:color w:val="auto"/>
        </w:rPr>
      </w:pPr>
      <w:r>
        <w:rPr>
          <w:color w:val="auto"/>
        </w:rPr>
        <w:t>轴承企业应构建 “决策层 - 管理层 - 执行层” 三级组织架构，明确各层级职责，确保商业秘密保护工作有序推进。</w:t>
      </w:r>
    </w:p>
    <w:p w14:paraId="2631E047">
      <w:pPr>
        <w:pStyle w:val="5"/>
        <w:ind w:left="0" w:leftChars="0"/>
        <w:outlineLvl w:val="2"/>
        <w:rPr>
          <w:color w:val="auto"/>
        </w:rPr>
      </w:pPr>
      <w:bookmarkStart w:id="18" w:name="_Toc2454"/>
      <w:r>
        <w:rPr>
          <w:color w:val="auto"/>
        </w:rPr>
        <w:t>3.1.1 决策层：保密委员会</w:t>
      </w:r>
      <w:bookmarkEnd w:id="18"/>
    </w:p>
    <w:p w14:paraId="5EF64DD8">
      <w:pPr>
        <w:pStyle w:val="21"/>
        <w:numPr>
          <w:ilvl w:val="0"/>
          <w:numId w:val="0"/>
        </w:numPr>
        <w:ind w:left="288" w:leftChars="0" w:hanging="288" w:firstLineChars="0"/>
        <w:rPr>
          <w:color w:val="auto"/>
        </w:rPr>
      </w:pPr>
      <w:r>
        <w:rPr>
          <w:color w:val="auto"/>
        </w:rPr>
        <w:t>组成：由企业法定代表人或总经理担任主任，分管研发、生产、销售的高管担任副主任，各部门负责人为成员；</w:t>
      </w:r>
    </w:p>
    <w:p w14:paraId="70DC4555">
      <w:pPr>
        <w:pStyle w:val="21"/>
        <w:numPr>
          <w:ilvl w:val="0"/>
          <w:numId w:val="0"/>
        </w:numPr>
        <w:ind w:left="288" w:leftChars="0" w:hanging="288" w:firstLineChars="0"/>
        <w:rPr>
          <w:color w:val="auto"/>
        </w:rPr>
      </w:pPr>
      <w:r>
        <w:rPr>
          <w:color w:val="auto"/>
        </w:rPr>
        <w:t>职责：</w:t>
      </w:r>
    </w:p>
    <w:p w14:paraId="6BED6F5F">
      <w:pPr>
        <w:pStyle w:val="21"/>
        <w:numPr>
          <w:ilvl w:val="1"/>
          <w:numId w:val="1"/>
        </w:numPr>
        <w:rPr>
          <w:color w:val="auto"/>
        </w:rPr>
      </w:pPr>
      <w:r>
        <w:rPr>
          <w:color w:val="auto"/>
        </w:rPr>
        <w:t>审定企业商业秘密保护战略、年度计划及重大制度；</w:t>
      </w:r>
    </w:p>
    <w:p w14:paraId="06DD634C">
      <w:pPr>
        <w:pStyle w:val="21"/>
        <w:numPr>
          <w:ilvl w:val="1"/>
          <w:numId w:val="1"/>
        </w:numPr>
        <w:rPr>
          <w:color w:val="auto"/>
        </w:rPr>
      </w:pPr>
      <w:r>
        <w:rPr>
          <w:color w:val="auto"/>
        </w:rPr>
        <w:t>审批核心商业秘密的定密、解密及涉密人员权限；</w:t>
      </w:r>
    </w:p>
    <w:p w14:paraId="4DB58A17">
      <w:pPr>
        <w:pStyle w:val="21"/>
        <w:numPr>
          <w:ilvl w:val="1"/>
          <w:numId w:val="1"/>
        </w:numPr>
        <w:rPr>
          <w:color w:val="auto"/>
        </w:rPr>
      </w:pPr>
      <w:r>
        <w:rPr>
          <w:color w:val="auto"/>
        </w:rPr>
        <w:t>统筹调配保密工作所需的资金、人力、技术资源；</w:t>
      </w:r>
    </w:p>
    <w:p w14:paraId="5BA03048">
      <w:pPr>
        <w:pStyle w:val="21"/>
        <w:numPr>
          <w:ilvl w:val="1"/>
          <w:numId w:val="1"/>
        </w:numPr>
        <w:rPr>
          <w:color w:val="auto"/>
        </w:rPr>
      </w:pPr>
      <w:r>
        <w:rPr>
          <w:color w:val="auto"/>
        </w:rPr>
        <w:t>处理重大泄密事件，决定维权方案与责任追究。</w:t>
      </w:r>
    </w:p>
    <w:p w14:paraId="18CD985C">
      <w:pPr>
        <w:pStyle w:val="5"/>
        <w:ind w:left="0" w:leftChars="0"/>
        <w:outlineLvl w:val="2"/>
        <w:rPr>
          <w:color w:val="auto"/>
        </w:rPr>
      </w:pPr>
      <w:bookmarkStart w:id="19" w:name="_Toc21933"/>
      <w:r>
        <w:rPr>
          <w:color w:val="auto"/>
        </w:rPr>
        <w:t>3.1.2 管理层：保密管理部门</w:t>
      </w:r>
      <w:bookmarkEnd w:id="19"/>
    </w:p>
    <w:p w14:paraId="5BD978D2">
      <w:pPr>
        <w:pStyle w:val="21"/>
        <w:numPr>
          <w:ilvl w:val="0"/>
          <w:numId w:val="0"/>
        </w:numPr>
        <w:ind w:left="288" w:leftChars="0" w:hanging="288" w:firstLineChars="0"/>
        <w:rPr>
          <w:color w:val="auto"/>
        </w:rPr>
      </w:pPr>
      <w:r>
        <w:rPr>
          <w:color w:val="auto"/>
        </w:rPr>
        <w:t>设置：企业应单独设立保密管理部，或在行政部 / 法务部下设保密管理岗，配备 2-3 名专职保密员（需具备轴承技术、法律复合背景）；</w:t>
      </w:r>
    </w:p>
    <w:p w14:paraId="2AE4BE14">
      <w:pPr>
        <w:pStyle w:val="21"/>
        <w:numPr>
          <w:ilvl w:val="0"/>
          <w:numId w:val="0"/>
        </w:numPr>
        <w:ind w:left="288" w:leftChars="0" w:hanging="288" w:firstLineChars="0"/>
        <w:rPr>
          <w:color w:val="auto"/>
        </w:rPr>
      </w:pPr>
      <w:r>
        <w:rPr>
          <w:color w:val="auto"/>
        </w:rPr>
        <w:t>职责：</w:t>
      </w:r>
    </w:p>
    <w:p w14:paraId="27814DCA">
      <w:pPr>
        <w:pStyle w:val="21"/>
        <w:numPr>
          <w:ilvl w:val="1"/>
          <w:numId w:val="2"/>
        </w:numPr>
        <w:rPr>
          <w:color w:val="auto"/>
        </w:rPr>
      </w:pPr>
      <w:r>
        <w:rPr>
          <w:color w:val="auto"/>
        </w:rPr>
        <w:t>制定商业秘密保护制度、操作流程及保密协议模板；</w:t>
      </w:r>
    </w:p>
    <w:p w14:paraId="7E052615">
      <w:pPr>
        <w:pStyle w:val="21"/>
        <w:numPr>
          <w:ilvl w:val="1"/>
          <w:numId w:val="2"/>
        </w:numPr>
        <w:rPr>
          <w:color w:val="auto"/>
        </w:rPr>
      </w:pPr>
      <w:r>
        <w:rPr>
          <w:color w:val="auto"/>
        </w:rPr>
        <w:t>组织商业秘密识别、定密、解密及动态评估；</w:t>
      </w:r>
    </w:p>
    <w:p w14:paraId="65180399">
      <w:pPr>
        <w:pStyle w:val="21"/>
        <w:numPr>
          <w:ilvl w:val="1"/>
          <w:numId w:val="2"/>
        </w:numPr>
        <w:rPr>
          <w:color w:val="auto"/>
        </w:rPr>
      </w:pPr>
      <w:r>
        <w:rPr>
          <w:color w:val="auto"/>
        </w:rPr>
        <w:t>开展涉密人员培训、考核与保密协议签订；</w:t>
      </w:r>
    </w:p>
    <w:p w14:paraId="0B7722E2">
      <w:pPr>
        <w:pStyle w:val="21"/>
        <w:numPr>
          <w:ilvl w:val="1"/>
          <w:numId w:val="2"/>
        </w:numPr>
        <w:rPr>
          <w:color w:val="auto"/>
        </w:rPr>
      </w:pPr>
      <w:r>
        <w:rPr>
          <w:color w:val="auto"/>
        </w:rPr>
        <w:t>监督涉密区域、载体、设备的日常管理；</w:t>
      </w:r>
    </w:p>
    <w:p w14:paraId="6C71360A">
      <w:pPr>
        <w:pStyle w:val="21"/>
        <w:numPr>
          <w:ilvl w:val="1"/>
          <w:numId w:val="2"/>
        </w:numPr>
        <w:rPr>
          <w:color w:val="auto"/>
        </w:rPr>
      </w:pPr>
      <w:r>
        <w:rPr>
          <w:color w:val="auto"/>
        </w:rPr>
        <w:t>排查保密风险，处理一般泄密事件，向保密委员会汇报重大问题。</w:t>
      </w:r>
    </w:p>
    <w:p w14:paraId="711CC60C">
      <w:pPr>
        <w:pStyle w:val="5"/>
        <w:ind w:left="0" w:leftChars="0"/>
        <w:outlineLvl w:val="2"/>
        <w:rPr>
          <w:color w:val="auto"/>
        </w:rPr>
      </w:pPr>
      <w:bookmarkStart w:id="20" w:name="_Toc12306"/>
      <w:r>
        <w:rPr>
          <w:color w:val="auto"/>
        </w:rPr>
        <w:t>3.1.3 执行层：部门保密员与涉密岗位</w:t>
      </w:r>
      <w:bookmarkEnd w:id="20"/>
    </w:p>
    <w:p w14:paraId="64F83FA6">
      <w:pPr>
        <w:pStyle w:val="21"/>
        <w:numPr>
          <w:ilvl w:val="0"/>
          <w:numId w:val="0"/>
        </w:numPr>
        <w:ind w:left="288" w:leftChars="0" w:hanging="288" w:firstLineChars="0"/>
        <w:rPr>
          <w:color w:val="auto"/>
        </w:rPr>
      </w:pPr>
      <w:r>
        <w:rPr>
          <w:color w:val="auto"/>
        </w:rPr>
        <w:t>部门保密员：在研发、生产、采购、销售等部门设置兼职保密员，由部门骨干员工担任，负责本部门日常保密工作（如涉密文件登记、保密检查配合）；</w:t>
      </w:r>
    </w:p>
    <w:p w14:paraId="24BDBB86">
      <w:pPr>
        <w:pStyle w:val="21"/>
        <w:numPr>
          <w:ilvl w:val="0"/>
          <w:numId w:val="0"/>
        </w:numPr>
        <w:ind w:left="288" w:leftChars="0" w:hanging="288" w:firstLineChars="0"/>
        <w:rPr>
          <w:color w:val="auto"/>
        </w:rPr>
      </w:pPr>
      <w:r>
        <w:rPr>
          <w:color w:val="auto"/>
        </w:rPr>
        <w:t>涉密岗位：明确研发工程师、工艺技术员、采购经理等涉密岗位清单，在岗位说明书中注明保密职责，实行 “一岗一责”。</w:t>
      </w:r>
    </w:p>
    <w:p w14:paraId="2972D52A">
      <w:pPr>
        <w:pStyle w:val="4"/>
        <w:ind w:left="0" w:leftChars="0"/>
        <w:outlineLvl w:val="1"/>
        <w:rPr>
          <w:color w:val="auto"/>
        </w:rPr>
      </w:pPr>
      <w:bookmarkStart w:id="21" w:name="_Toc10647"/>
      <w:r>
        <w:rPr>
          <w:color w:val="auto"/>
        </w:rPr>
        <w:t>3.2 跨部门协作机制</w:t>
      </w:r>
      <w:bookmarkEnd w:id="21"/>
    </w:p>
    <w:p w14:paraId="3FEF029C">
      <w:pPr>
        <w:pStyle w:val="21"/>
        <w:rPr>
          <w:color w:val="auto"/>
        </w:rPr>
      </w:pPr>
      <w:r>
        <w:rPr>
          <w:color w:val="auto"/>
        </w:rPr>
        <w:t>建立 “保密管理部牵头，各部门协同” 的工作机制，打破部门壁垒，实现商业秘密全流程保护：</w:t>
      </w:r>
    </w:p>
    <w:p w14:paraId="7BC1DDBA">
      <w:pPr>
        <w:pStyle w:val="21"/>
        <w:numPr>
          <w:ilvl w:val="0"/>
          <w:numId w:val="0"/>
        </w:numPr>
        <w:ind w:left="288" w:leftChars="0" w:hanging="288" w:firstLineChars="0"/>
        <w:rPr>
          <w:color w:val="auto"/>
        </w:rPr>
      </w:pPr>
      <w:r>
        <w:rPr>
          <w:color w:val="auto"/>
        </w:rPr>
        <w:t>研发部：配合保密管理部识别研发环节商业秘密，落实设计图纸、实验数据的保密措施；</w:t>
      </w:r>
    </w:p>
    <w:p w14:paraId="754EA292">
      <w:pPr>
        <w:pStyle w:val="21"/>
        <w:numPr>
          <w:ilvl w:val="0"/>
          <w:numId w:val="0"/>
        </w:numPr>
        <w:ind w:left="288" w:leftChars="0" w:hanging="288" w:firstLineChars="0"/>
        <w:rPr>
          <w:color w:val="auto"/>
        </w:rPr>
      </w:pPr>
      <w:r>
        <w:rPr>
          <w:color w:val="auto"/>
        </w:rPr>
        <w:t>生产部：加强涉密车间（如热处理车间）人员与设备管理，防止工艺参数泄露；</w:t>
      </w:r>
    </w:p>
    <w:p w14:paraId="7276EE11">
      <w:pPr>
        <w:pStyle w:val="21"/>
        <w:numPr>
          <w:ilvl w:val="0"/>
          <w:numId w:val="0"/>
        </w:numPr>
        <w:ind w:left="288" w:leftChars="0" w:hanging="288" w:firstLineChars="0"/>
        <w:rPr>
          <w:color w:val="auto"/>
        </w:rPr>
      </w:pPr>
      <w:r>
        <w:rPr>
          <w:color w:val="auto"/>
        </w:rPr>
        <w:t>采购部：与供应商签订保密协议，管控供应链信息；</w:t>
      </w:r>
    </w:p>
    <w:p w14:paraId="1FBF32F1">
      <w:pPr>
        <w:pStyle w:val="21"/>
        <w:numPr>
          <w:ilvl w:val="0"/>
          <w:numId w:val="0"/>
        </w:numPr>
        <w:ind w:left="288" w:leftChars="0" w:hanging="288" w:firstLineChars="0"/>
        <w:rPr>
          <w:color w:val="auto"/>
        </w:rPr>
      </w:pPr>
      <w:r>
        <w:rPr>
          <w:color w:val="auto"/>
        </w:rPr>
        <w:t>销售部：保护客户信息，禁止私自泄露客户定制需求；</w:t>
      </w:r>
    </w:p>
    <w:p w14:paraId="63208C52">
      <w:pPr>
        <w:pStyle w:val="21"/>
        <w:numPr>
          <w:ilvl w:val="0"/>
          <w:numId w:val="0"/>
        </w:numPr>
        <w:ind w:left="288" w:leftChars="0" w:hanging="288" w:firstLineChars="0"/>
        <w:rPr>
          <w:color w:val="auto"/>
        </w:rPr>
      </w:pPr>
      <w:r>
        <w:rPr>
          <w:color w:val="auto"/>
        </w:rPr>
        <w:t>人力资源部：将保密要求纳入员工入职、培训、离职流程，签订保密与竞业限制协议；</w:t>
      </w:r>
    </w:p>
    <w:p w14:paraId="26EDEC96">
      <w:pPr>
        <w:pStyle w:val="21"/>
        <w:numPr>
          <w:ilvl w:val="0"/>
          <w:numId w:val="0"/>
        </w:numPr>
        <w:ind w:left="288" w:leftChars="0" w:hanging="288" w:firstLineChars="0"/>
        <w:rPr>
          <w:color w:val="auto"/>
        </w:rPr>
      </w:pPr>
      <w:r>
        <w:rPr>
          <w:color w:val="auto"/>
        </w:rPr>
        <w:t>信息技术部：负责涉密计算机、服务器、网络的技术防护，定期进行安全检测。</w:t>
      </w:r>
    </w:p>
    <w:p w14:paraId="7CDDAB01">
      <w:pPr>
        <w:pStyle w:val="4"/>
        <w:ind w:left="0" w:leftChars="0"/>
        <w:outlineLvl w:val="1"/>
        <w:rPr>
          <w:color w:val="auto"/>
        </w:rPr>
      </w:pPr>
      <w:bookmarkStart w:id="22" w:name="_Toc5340"/>
      <w:r>
        <w:rPr>
          <w:color w:val="auto"/>
        </w:rPr>
        <w:t>3.3 外部协作机制</w:t>
      </w:r>
      <w:bookmarkEnd w:id="22"/>
    </w:p>
    <w:p w14:paraId="3F8C05CC">
      <w:pPr>
        <w:pStyle w:val="21"/>
        <w:rPr>
          <w:color w:val="auto"/>
        </w:rPr>
      </w:pPr>
      <w:r>
        <w:rPr>
          <w:color w:val="auto"/>
        </w:rPr>
        <w:t>轴承企业应加强与外部机构的协作，提升商业秘密保护专业能力：</w:t>
      </w:r>
    </w:p>
    <w:p w14:paraId="27BC3582">
      <w:pPr>
        <w:pStyle w:val="21"/>
        <w:numPr>
          <w:ilvl w:val="0"/>
          <w:numId w:val="0"/>
        </w:numPr>
        <w:ind w:left="288" w:leftChars="0" w:hanging="288" w:firstLineChars="0"/>
        <w:rPr>
          <w:color w:val="auto"/>
        </w:rPr>
      </w:pPr>
      <w:r>
        <w:rPr>
          <w:color w:val="auto"/>
        </w:rPr>
        <w:t>行业协会：依托</w:t>
      </w:r>
      <w:r>
        <w:rPr>
          <w:rFonts w:hint="eastAsia"/>
          <w:color w:val="auto"/>
          <w:lang w:val="en-US" w:eastAsia="zh-CN"/>
        </w:rPr>
        <w:t>临清市</w:t>
      </w:r>
      <w:r>
        <w:rPr>
          <w:color w:val="auto"/>
        </w:rPr>
        <w:t>轴承商会，参与产业商业秘密保护交流，共享风险预警信息；</w:t>
      </w:r>
    </w:p>
    <w:p w14:paraId="488C6EE4">
      <w:pPr>
        <w:pStyle w:val="21"/>
        <w:numPr>
          <w:ilvl w:val="0"/>
          <w:numId w:val="0"/>
        </w:numPr>
        <w:ind w:left="288" w:leftChars="0" w:hanging="288" w:firstLineChars="0"/>
        <w:rPr>
          <w:color w:val="auto"/>
        </w:rPr>
      </w:pPr>
      <w:r>
        <w:rPr>
          <w:color w:val="auto"/>
        </w:rPr>
        <w:t>法律机构：与律师事务所合作，制定保密协议、处理侵权维权案件；</w:t>
      </w:r>
    </w:p>
    <w:p w14:paraId="41CFBBA0">
      <w:pPr>
        <w:pStyle w:val="21"/>
        <w:numPr>
          <w:ilvl w:val="0"/>
          <w:numId w:val="0"/>
        </w:numPr>
        <w:ind w:left="288" w:leftChars="0" w:hanging="288" w:firstLineChars="0"/>
        <w:rPr>
          <w:color w:val="auto"/>
        </w:rPr>
      </w:pPr>
      <w:r>
        <w:rPr>
          <w:color w:val="auto"/>
        </w:rPr>
        <w:t>技术机构：委托第三方检测机构，对涉密技术信息进行存证（如区块链存证）；</w:t>
      </w:r>
    </w:p>
    <w:p w14:paraId="2A338118">
      <w:pPr>
        <w:pStyle w:val="21"/>
        <w:numPr>
          <w:ilvl w:val="0"/>
          <w:numId w:val="0"/>
        </w:numPr>
        <w:ind w:left="288" w:leftChars="0" w:hanging="288" w:firstLineChars="0"/>
        <w:rPr>
          <w:color w:val="auto"/>
        </w:rPr>
      </w:pPr>
      <w:r>
        <w:rPr>
          <w:color w:val="auto"/>
        </w:rPr>
        <w:t>行政部门：对接市场监管局、公安局，及时举报侵权行为，寻求行政与刑事保护。</w:t>
      </w:r>
    </w:p>
    <w:p w14:paraId="4A6053A3">
      <w:pPr>
        <w:pStyle w:val="3"/>
        <w:ind w:left="0" w:leftChars="0"/>
        <w:outlineLvl w:val="0"/>
        <w:rPr>
          <w:color w:val="auto"/>
        </w:rPr>
      </w:pPr>
      <w:bookmarkStart w:id="23" w:name="_Toc13760"/>
      <w:r>
        <w:rPr>
          <w:color w:val="auto"/>
        </w:rPr>
        <w:t>四、商业秘密事项管理体系</w:t>
      </w:r>
      <w:bookmarkEnd w:id="23"/>
    </w:p>
    <w:p w14:paraId="4666330F">
      <w:pPr>
        <w:pStyle w:val="4"/>
        <w:ind w:left="0" w:leftChars="0"/>
        <w:outlineLvl w:val="1"/>
        <w:rPr>
          <w:color w:val="auto"/>
        </w:rPr>
      </w:pPr>
      <w:bookmarkStart w:id="24" w:name="_Toc11374"/>
      <w:r>
        <w:rPr>
          <w:color w:val="auto"/>
        </w:rPr>
        <w:t>4.1 商业秘密识别与定密</w:t>
      </w:r>
      <w:bookmarkEnd w:id="24"/>
    </w:p>
    <w:p w14:paraId="4385F581">
      <w:pPr>
        <w:pStyle w:val="5"/>
        <w:ind w:left="0" w:leftChars="0"/>
        <w:outlineLvl w:val="2"/>
        <w:rPr>
          <w:color w:val="auto"/>
        </w:rPr>
      </w:pPr>
      <w:bookmarkStart w:id="25" w:name="_Toc30723"/>
      <w:r>
        <w:rPr>
          <w:color w:val="auto"/>
        </w:rPr>
        <w:t>4.1.1 识别流程</w:t>
      </w:r>
      <w:bookmarkEnd w:id="25"/>
    </w:p>
    <w:p w14:paraId="61934695">
      <w:pPr>
        <w:pStyle w:val="21"/>
        <w:rPr>
          <w:color w:val="auto"/>
        </w:rPr>
      </w:pPr>
      <w:r>
        <w:rPr>
          <w:color w:val="auto"/>
        </w:rPr>
        <w:t>轴承企业应每年度开展商业秘密全面识别，新增业务或技术迭代时及时补充识别，流程如下：</w:t>
      </w:r>
    </w:p>
    <w:p w14:paraId="0D978BBF">
      <w:pPr>
        <w:pStyle w:val="21"/>
        <w:numPr>
          <w:ilvl w:val="0"/>
          <w:numId w:val="3"/>
        </w:numPr>
        <w:rPr>
          <w:color w:val="auto"/>
        </w:rPr>
      </w:pPr>
      <w:r>
        <w:rPr>
          <w:color w:val="auto"/>
        </w:rPr>
        <w:t>部门自查：各部门对照本体系 “技术信息”“经营信息” 范围，梳理本部门潜在商业秘密，填写《商业秘密识别清单》；</w:t>
      </w:r>
    </w:p>
    <w:p w14:paraId="6EEA88D8">
      <w:pPr>
        <w:pStyle w:val="21"/>
        <w:numPr>
          <w:ilvl w:val="0"/>
          <w:numId w:val="3"/>
        </w:numPr>
        <w:rPr>
          <w:color w:val="auto"/>
        </w:rPr>
      </w:pPr>
      <w:r>
        <w:rPr>
          <w:color w:val="auto"/>
        </w:rPr>
        <w:t>交叉审核：保密管理部组织研发、生产、法律等领域专家，对各部门清单进行交叉审核，排除已公开信息（如已发表论文、公开专利）；</w:t>
      </w:r>
    </w:p>
    <w:p w14:paraId="2A2D4E8C">
      <w:pPr>
        <w:pStyle w:val="21"/>
        <w:numPr>
          <w:ilvl w:val="0"/>
          <w:numId w:val="3"/>
        </w:numPr>
        <w:rPr>
          <w:color w:val="auto"/>
        </w:rPr>
      </w:pPr>
      <w:r>
        <w:rPr>
          <w:color w:val="auto"/>
        </w:rPr>
        <w:t>秘密性验证：委托第三方机构对核心信息进行查新（如检索专利、行业文献），确认 “不为公众所知悉”；</w:t>
      </w:r>
    </w:p>
    <w:p w14:paraId="76D97A16">
      <w:pPr>
        <w:pStyle w:val="21"/>
        <w:numPr>
          <w:ilvl w:val="0"/>
          <w:numId w:val="3"/>
        </w:numPr>
        <w:rPr>
          <w:color w:val="auto"/>
        </w:rPr>
      </w:pPr>
      <w:r>
        <w:rPr>
          <w:color w:val="auto"/>
        </w:rPr>
        <w:t>价值评估：评估信息的商业价值（如带来的成本节约、市场份额提升），确定是否纳入保护范围；</w:t>
      </w:r>
    </w:p>
    <w:p w14:paraId="1628B040">
      <w:pPr>
        <w:pStyle w:val="21"/>
        <w:numPr>
          <w:ilvl w:val="0"/>
          <w:numId w:val="3"/>
        </w:numPr>
        <w:rPr>
          <w:color w:val="auto"/>
        </w:rPr>
      </w:pPr>
      <w:r>
        <w:rPr>
          <w:color w:val="auto"/>
        </w:rPr>
        <w:t>定密审批：保密管理部根据识别结果，提出定密建议（密级、保密期限、知悉范围），报保密委员会审批。</w:t>
      </w:r>
    </w:p>
    <w:p w14:paraId="5B811CF7">
      <w:pPr>
        <w:pStyle w:val="5"/>
        <w:ind w:left="0" w:leftChars="0"/>
        <w:outlineLvl w:val="2"/>
        <w:rPr>
          <w:color w:val="auto"/>
        </w:rPr>
      </w:pPr>
      <w:bookmarkStart w:id="26" w:name="_Toc4954"/>
      <w:r>
        <w:rPr>
          <w:color w:val="auto"/>
        </w:rPr>
        <w:t>4.1.2 定密要素</w:t>
      </w:r>
      <w:bookmarkEnd w:id="26"/>
      <w:bookmarkStart w:id="149" w:name="_GoBack"/>
      <w:bookmarkEnd w:id="149"/>
    </w:p>
    <w:p w14:paraId="68840DEE">
      <w:pPr>
        <w:pStyle w:val="21"/>
        <w:rPr>
          <w:color w:val="auto"/>
        </w:rPr>
      </w:pPr>
      <w:r>
        <w:rPr>
          <w:color w:val="auto"/>
        </w:rPr>
        <w:t>定密时需明确商业秘密的核心要素，形成《商业秘密清单》并动态更新，要素包括：</w:t>
      </w:r>
    </w:p>
    <w:p w14:paraId="4D07648D">
      <w:pPr>
        <w:pStyle w:val="21"/>
        <w:numPr>
          <w:ilvl w:val="0"/>
          <w:numId w:val="0"/>
        </w:numPr>
        <w:ind w:left="288" w:leftChars="0" w:hanging="288" w:firstLineChars="0"/>
        <w:rPr>
          <w:color w:val="auto"/>
        </w:rPr>
      </w:pPr>
      <w:r>
        <w:rPr>
          <w:color w:val="auto"/>
        </w:rPr>
        <w:t>秘密点名称：如 “风电轴承热处理工艺参数”“某汽车主机厂定制轴承价格体系”；</w:t>
      </w:r>
    </w:p>
    <w:p w14:paraId="0714207C">
      <w:pPr>
        <w:pStyle w:val="21"/>
        <w:numPr>
          <w:ilvl w:val="0"/>
          <w:numId w:val="0"/>
        </w:numPr>
        <w:ind w:left="288" w:leftChars="0" w:hanging="288" w:firstLineChars="0"/>
        <w:rPr>
          <w:color w:val="auto"/>
        </w:rPr>
      </w:pPr>
      <w:r>
        <w:rPr>
          <w:color w:val="auto"/>
        </w:rPr>
        <w:t>密级：核心秘密 / 重要秘密 / 一般秘密；</w:t>
      </w:r>
    </w:p>
    <w:p w14:paraId="6FB1E9C0">
      <w:pPr>
        <w:pStyle w:val="21"/>
        <w:numPr>
          <w:ilvl w:val="0"/>
          <w:numId w:val="0"/>
        </w:numPr>
        <w:ind w:left="288" w:leftChars="0" w:hanging="288" w:firstLineChars="0"/>
        <w:rPr>
          <w:color w:val="auto"/>
        </w:rPr>
      </w:pPr>
      <w:r>
        <w:rPr>
          <w:color w:val="auto"/>
        </w:rPr>
        <w:t>载体形式：纸质图纸 / 电子文档 / 实物样品；</w:t>
      </w:r>
    </w:p>
    <w:p w14:paraId="4B671419">
      <w:pPr>
        <w:pStyle w:val="21"/>
        <w:numPr>
          <w:ilvl w:val="0"/>
          <w:numId w:val="0"/>
        </w:numPr>
        <w:ind w:left="288" w:leftChars="0" w:hanging="288" w:firstLineChars="0"/>
        <w:rPr>
          <w:color w:val="auto"/>
        </w:rPr>
      </w:pPr>
      <w:r>
        <w:rPr>
          <w:color w:val="auto"/>
        </w:rPr>
        <w:t>知悉范围：具体人员姓名或岗位；</w:t>
      </w:r>
    </w:p>
    <w:p w14:paraId="78CE4DAE">
      <w:pPr>
        <w:pStyle w:val="21"/>
        <w:numPr>
          <w:ilvl w:val="0"/>
          <w:numId w:val="0"/>
        </w:numPr>
        <w:ind w:left="288" w:leftChars="0" w:hanging="288" w:firstLineChars="0"/>
        <w:rPr>
          <w:color w:val="auto"/>
        </w:rPr>
      </w:pPr>
      <w:r>
        <w:rPr>
          <w:color w:val="auto"/>
        </w:rPr>
        <w:t>保密期限：一般秘密 1-3 年，重要秘密 3-5 年，核心秘密长期（直至公开或无价值）；</w:t>
      </w:r>
    </w:p>
    <w:p w14:paraId="32CD5380">
      <w:pPr>
        <w:pStyle w:val="21"/>
        <w:numPr>
          <w:ilvl w:val="0"/>
          <w:numId w:val="0"/>
        </w:numPr>
        <w:ind w:left="288" w:leftChars="0" w:hanging="288" w:firstLineChars="0"/>
        <w:rPr>
          <w:color w:val="auto"/>
        </w:rPr>
      </w:pPr>
      <w:r>
        <w:rPr>
          <w:color w:val="auto"/>
        </w:rPr>
        <w:t>解密条件：如 “技术公开后”“产品退市后”“合作终止后”。</w:t>
      </w:r>
    </w:p>
    <w:p w14:paraId="6ECBD936">
      <w:pPr>
        <w:pStyle w:val="4"/>
        <w:ind w:left="0" w:leftChars="0"/>
        <w:outlineLvl w:val="1"/>
        <w:rPr>
          <w:color w:val="auto"/>
        </w:rPr>
      </w:pPr>
      <w:bookmarkStart w:id="27" w:name="_Toc24647"/>
      <w:r>
        <w:rPr>
          <w:color w:val="auto"/>
        </w:rPr>
        <w:t>4.2 商业秘密分级管理</w:t>
      </w:r>
      <w:bookmarkEnd w:id="27"/>
    </w:p>
    <w:p w14:paraId="52A9C358">
      <w:pPr>
        <w:pStyle w:val="5"/>
        <w:ind w:left="0" w:leftChars="0"/>
        <w:outlineLvl w:val="2"/>
        <w:rPr>
          <w:color w:val="auto"/>
        </w:rPr>
      </w:pPr>
      <w:bookmarkStart w:id="28" w:name="_Toc4376"/>
      <w:r>
        <w:rPr>
          <w:color w:val="auto"/>
        </w:rPr>
        <w:t>4.2.1 核心秘密管理</w:t>
      </w:r>
      <w:bookmarkEnd w:id="28"/>
    </w:p>
    <w:p w14:paraId="0D36D0C8">
      <w:pPr>
        <w:pStyle w:val="21"/>
        <w:numPr>
          <w:ilvl w:val="0"/>
          <w:numId w:val="0"/>
        </w:numPr>
        <w:ind w:left="288" w:leftChars="0" w:hanging="288" w:firstLineChars="0"/>
        <w:rPr>
          <w:color w:val="auto"/>
        </w:rPr>
      </w:pPr>
      <w:r>
        <w:rPr>
          <w:color w:val="auto"/>
        </w:rPr>
        <w:t>存储：纸质载体存放于双人双锁保密柜，电子载体存储于离线服务器，实物样品（如未量产轴承）存放于加密样品库；</w:t>
      </w:r>
    </w:p>
    <w:p w14:paraId="74E42315">
      <w:pPr>
        <w:pStyle w:val="21"/>
        <w:numPr>
          <w:ilvl w:val="0"/>
          <w:numId w:val="0"/>
        </w:numPr>
        <w:ind w:left="288" w:leftChars="0" w:hanging="288" w:firstLineChars="0"/>
        <w:rPr>
          <w:color w:val="auto"/>
        </w:rPr>
      </w:pPr>
      <w:r>
        <w:rPr>
          <w:color w:val="auto"/>
        </w:rPr>
        <w:t>访问：需经企业法定代表人或总经理审批，每次访问记录访问人、时间、用途；</w:t>
      </w:r>
    </w:p>
    <w:p w14:paraId="0C178A17">
      <w:pPr>
        <w:pStyle w:val="21"/>
        <w:numPr>
          <w:ilvl w:val="0"/>
          <w:numId w:val="0"/>
        </w:numPr>
        <w:ind w:left="288" w:leftChars="0" w:hanging="288" w:firstLineChars="0"/>
        <w:rPr>
          <w:color w:val="auto"/>
        </w:rPr>
      </w:pPr>
      <w:r>
        <w:rPr>
          <w:color w:val="auto"/>
        </w:rPr>
        <w:t>流转：仅限内部当面传递，禁止通过邮件、微信等电子方式传输，流转过程需双人陪同；</w:t>
      </w:r>
    </w:p>
    <w:p w14:paraId="238A2F5E">
      <w:pPr>
        <w:pStyle w:val="21"/>
        <w:numPr>
          <w:ilvl w:val="0"/>
          <w:numId w:val="0"/>
        </w:numPr>
        <w:ind w:left="288" w:leftChars="0" w:hanging="288" w:firstLineChars="0"/>
        <w:rPr>
          <w:color w:val="auto"/>
        </w:rPr>
      </w:pPr>
      <w:r>
        <w:rPr>
          <w:color w:val="auto"/>
        </w:rPr>
        <w:t>销毁：由保密管理部牵头，2 名以上保密员现场监督，纸质载体粉碎（颗粒度≤2mm），电子载体物理销毁（如硬盘粉碎），实物载体拆解后销毁。</w:t>
      </w:r>
    </w:p>
    <w:p w14:paraId="6FA67BC2">
      <w:pPr>
        <w:pStyle w:val="5"/>
        <w:ind w:left="0" w:leftChars="0"/>
        <w:outlineLvl w:val="2"/>
        <w:rPr>
          <w:color w:val="auto"/>
        </w:rPr>
      </w:pPr>
      <w:bookmarkStart w:id="29" w:name="_Toc6794"/>
      <w:r>
        <w:rPr>
          <w:color w:val="auto"/>
        </w:rPr>
        <w:t>4.2.2 重要秘密管理</w:t>
      </w:r>
      <w:bookmarkEnd w:id="29"/>
    </w:p>
    <w:p w14:paraId="1D7FFFB8">
      <w:pPr>
        <w:pStyle w:val="21"/>
        <w:numPr>
          <w:ilvl w:val="0"/>
          <w:numId w:val="0"/>
        </w:numPr>
        <w:ind w:left="288" w:leftChars="0" w:hanging="288" w:firstLineChars="0"/>
        <w:rPr>
          <w:color w:val="auto"/>
        </w:rPr>
      </w:pPr>
      <w:r>
        <w:rPr>
          <w:color w:val="auto"/>
        </w:rPr>
        <w:t>存储：纸质载体存放于带密码的保密柜，电子载体加密存储于内部局域网服务器；</w:t>
      </w:r>
    </w:p>
    <w:p w14:paraId="6E7A5932">
      <w:pPr>
        <w:pStyle w:val="21"/>
        <w:numPr>
          <w:ilvl w:val="0"/>
          <w:numId w:val="0"/>
        </w:numPr>
        <w:ind w:left="288" w:leftChars="0" w:hanging="288" w:firstLineChars="0"/>
        <w:rPr>
          <w:color w:val="auto"/>
        </w:rPr>
      </w:pPr>
      <w:r>
        <w:rPr>
          <w:color w:val="auto"/>
        </w:rPr>
        <w:t>访问：需经部门负责人审批，系统自动记录访问日志；</w:t>
      </w:r>
    </w:p>
    <w:p w14:paraId="1CAB6746">
      <w:pPr>
        <w:pStyle w:val="21"/>
        <w:numPr>
          <w:ilvl w:val="0"/>
          <w:numId w:val="0"/>
        </w:numPr>
        <w:ind w:left="288" w:leftChars="0" w:hanging="288" w:firstLineChars="0"/>
        <w:rPr>
          <w:color w:val="auto"/>
        </w:rPr>
      </w:pPr>
      <w:r>
        <w:rPr>
          <w:color w:val="auto"/>
        </w:rPr>
        <w:t>流转：内部通过加密邮件或专用 U 盘传递，对外流转需签订保密协议；</w:t>
      </w:r>
    </w:p>
    <w:p w14:paraId="4F6DC49B">
      <w:pPr>
        <w:pStyle w:val="21"/>
        <w:numPr>
          <w:ilvl w:val="0"/>
          <w:numId w:val="0"/>
        </w:numPr>
        <w:ind w:left="288" w:leftChars="0" w:hanging="288" w:firstLineChars="0"/>
        <w:rPr>
          <w:color w:val="auto"/>
        </w:rPr>
      </w:pPr>
      <w:r>
        <w:rPr>
          <w:color w:val="auto"/>
        </w:rPr>
        <w:t>销毁：由部门保密员提交申请，保密管理部审批后，按规定流程销毁，留存销毁记录。</w:t>
      </w:r>
    </w:p>
    <w:p w14:paraId="6789B454">
      <w:pPr>
        <w:pStyle w:val="5"/>
        <w:ind w:left="0" w:leftChars="0"/>
        <w:outlineLvl w:val="2"/>
        <w:rPr>
          <w:color w:val="auto"/>
        </w:rPr>
      </w:pPr>
      <w:bookmarkStart w:id="30" w:name="_Toc17011"/>
      <w:r>
        <w:rPr>
          <w:color w:val="auto"/>
        </w:rPr>
        <w:t>4.2.3 一般秘密管理</w:t>
      </w:r>
      <w:bookmarkEnd w:id="30"/>
    </w:p>
    <w:p w14:paraId="52BEF728">
      <w:pPr>
        <w:pStyle w:val="21"/>
        <w:numPr>
          <w:ilvl w:val="0"/>
          <w:numId w:val="0"/>
        </w:numPr>
        <w:ind w:left="288" w:leftChars="0" w:hanging="288" w:firstLineChars="0"/>
        <w:rPr>
          <w:color w:val="auto"/>
        </w:rPr>
      </w:pPr>
      <w:r>
        <w:rPr>
          <w:color w:val="auto"/>
        </w:rPr>
        <w:t>存储：纸质载体由部门专人保管，电子载体存储于企业内部共享盘（设置访问权限）；</w:t>
      </w:r>
    </w:p>
    <w:p w14:paraId="06229C44">
      <w:pPr>
        <w:pStyle w:val="21"/>
        <w:numPr>
          <w:ilvl w:val="0"/>
          <w:numId w:val="0"/>
        </w:numPr>
        <w:ind w:left="288" w:leftChars="0" w:hanging="288" w:firstLineChars="0"/>
        <w:rPr>
          <w:color w:val="auto"/>
        </w:rPr>
      </w:pPr>
      <w:r>
        <w:rPr>
          <w:color w:val="auto"/>
        </w:rPr>
        <w:t>访问：经岗位授权即可访问，定期核查访问记录；</w:t>
      </w:r>
    </w:p>
    <w:p w14:paraId="63AF9420">
      <w:pPr>
        <w:pStyle w:val="21"/>
        <w:numPr>
          <w:ilvl w:val="0"/>
          <w:numId w:val="0"/>
        </w:numPr>
        <w:ind w:left="288" w:leftChars="0" w:hanging="288" w:firstLineChars="0"/>
        <w:rPr>
          <w:color w:val="auto"/>
        </w:rPr>
      </w:pPr>
      <w:r>
        <w:rPr>
          <w:color w:val="auto"/>
        </w:rPr>
        <w:t>流转：内部按正常业务流程流转，对外流转需注明保密要求；</w:t>
      </w:r>
    </w:p>
    <w:p w14:paraId="031CA129">
      <w:pPr>
        <w:pStyle w:val="21"/>
        <w:numPr>
          <w:ilvl w:val="0"/>
          <w:numId w:val="0"/>
        </w:numPr>
        <w:ind w:left="288" w:leftChars="0" w:hanging="288" w:firstLineChars="0"/>
        <w:rPr>
          <w:color w:val="auto"/>
        </w:rPr>
      </w:pPr>
      <w:r>
        <w:rPr>
          <w:color w:val="auto"/>
        </w:rPr>
        <w:t>销毁：按企业文档销毁制度执行，确保信息不可恢复。</w:t>
      </w:r>
    </w:p>
    <w:p w14:paraId="66E087F4">
      <w:pPr>
        <w:pStyle w:val="4"/>
        <w:ind w:left="0" w:leftChars="0"/>
        <w:outlineLvl w:val="1"/>
        <w:rPr>
          <w:color w:val="auto"/>
        </w:rPr>
      </w:pPr>
      <w:bookmarkStart w:id="31" w:name="_Toc30249"/>
      <w:r>
        <w:rPr>
          <w:color w:val="auto"/>
        </w:rPr>
        <w:t>4.3 商业秘密动态调整</w:t>
      </w:r>
      <w:bookmarkEnd w:id="31"/>
    </w:p>
    <w:p w14:paraId="1BF9F8A8">
      <w:pPr>
        <w:pStyle w:val="5"/>
        <w:ind w:left="0" w:leftChars="0"/>
        <w:outlineLvl w:val="2"/>
        <w:rPr>
          <w:color w:val="auto"/>
        </w:rPr>
      </w:pPr>
      <w:bookmarkStart w:id="32" w:name="_Toc12330"/>
      <w:r>
        <w:rPr>
          <w:color w:val="auto"/>
        </w:rPr>
        <w:t>4.3.1 密级变更</w:t>
      </w:r>
      <w:bookmarkEnd w:id="32"/>
    </w:p>
    <w:p w14:paraId="3EAD43CC">
      <w:pPr>
        <w:pStyle w:val="21"/>
        <w:rPr>
          <w:color w:val="auto"/>
        </w:rPr>
      </w:pPr>
      <w:r>
        <w:rPr>
          <w:color w:val="auto"/>
        </w:rPr>
        <w:t>当商业秘密的价值、泄露风险发生变化时，应及时调整密级：</w:t>
      </w:r>
    </w:p>
    <w:p w14:paraId="3CB98A60">
      <w:pPr>
        <w:pStyle w:val="21"/>
        <w:numPr>
          <w:ilvl w:val="0"/>
          <w:numId w:val="0"/>
        </w:numPr>
        <w:ind w:left="288" w:leftChars="0" w:hanging="288" w:firstLineChars="0"/>
        <w:rPr>
          <w:color w:val="auto"/>
        </w:rPr>
      </w:pPr>
      <w:r>
        <w:rPr>
          <w:color w:val="auto"/>
        </w:rPr>
        <w:t>升级情形：如一般秘密技术被竞争对手模仿，可能影响市场份额，升级为重要秘密；</w:t>
      </w:r>
    </w:p>
    <w:p w14:paraId="0B5FA964">
      <w:pPr>
        <w:pStyle w:val="21"/>
        <w:numPr>
          <w:ilvl w:val="0"/>
          <w:numId w:val="0"/>
        </w:numPr>
        <w:ind w:left="288" w:leftChars="0" w:hanging="288" w:firstLineChars="0"/>
        <w:rPr>
          <w:color w:val="auto"/>
        </w:rPr>
      </w:pPr>
      <w:r>
        <w:rPr>
          <w:color w:val="auto"/>
        </w:rPr>
        <w:t>降级情形：如重要秘密因技术迭代丧失竞争优势，降级为一般秘密；</w:t>
      </w:r>
    </w:p>
    <w:p w14:paraId="50F26BD9">
      <w:pPr>
        <w:pStyle w:val="21"/>
        <w:numPr>
          <w:ilvl w:val="0"/>
          <w:numId w:val="0"/>
        </w:numPr>
        <w:ind w:left="288" w:leftChars="0" w:hanging="288" w:firstLineChars="0"/>
        <w:rPr>
          <w:color w:val="auto"/>
        </w:rPr>
      </w:pPr>
      <w:r>
        <w:rPr>
          <w:color w:val="auto"/>
        </w:rPr>
        <w:t>流程：由业务部门提出变更申请，保密管理部评估后报保密委员会审批，更新《商业秘密清单》并通知相关人员。</w:t>
      </w:r>
    </w:p>
    <w:p w14:paraId="7523F845">
      <w:pPr>
        <w:pStyle w:val="5"/>
        <w:ind w:left="0" w:leftChars="0"/>
        <w:outlineLvl w:val="2"/>
        <w:rPr>
          <w:color w:val="auto"/>
        </w:rPr>
      </w:pPr>
      <w:bookmarkStart w:id="33" w:name="_Toc15469"/>
      <w:r>
        <w:rPr>
          <w:color w:val="auto"/>
        </w:rPr>
        <w:t>4.3.2 解密管理</w:t>
      </w:r>
      <w:bookmarkEnd w:id="33"/>
    </w:p>
    <w:p w14:paraId="42336704">
      <w:pPr>
        <w:pStyle w:val="21"/>
        <w:rPr>
          <w:color w:val="auto"/>
        </w:rPr>
      </w:pPr>
      <w:r>
        <w:rPr>
          <w:color w:val="auto"/>
        </w:rPr>
        <w:t>符合以下条件之一的商业秘密，应及时解密：</w:t>
      </w:r>
    </w:p>
    <w:p w14:paraId="4037F8B3">
      <w:pPr>
        <w:pStyle w:val="21"/>
        <w:numPr>
          <w:ilvl w:val="0"/>
          <w:numId w:val="4"/>
        </w:numPr>
        <w:rPr>
          <w:color w:val="auto"/>
        </w:rPr>
      </w:pPr>
      <w:r>
        <w:rPr>
          <w:color w:val="auto"/>
        </w:rPr>
        <w:t>保密期限届满，且无继续保密必要；</w:t>
      </w:r>
    </w:p>
    <w:p w14:paraId="2B76A88A">
      <w:pPr>
        <w:pStyle w:val="21"/>
        <w:numPr>
          <w:ilvl w:val="0"/>
          <w:numId w:val="4"/>
        </w:numPr>
        <w:rPr>
          <w:color w:val="auto"/>
        </w:rPr>
      </w:pPr>
      <w:r>
        <w:rPr>
          <w:color w:val="auto"/>
        </w:rPr>
        <w:t>信息已公开（如通过专利申请、行业展会公开）；</w:t>
      </w:r>
    </w:p>
    <w:p w14:paraId="497878D7">
      <w:pPr>
        <w:pStyle w:val="21"/>
        <w:numPr>
          <w:ilvl w:val="0"/>
          <w:numId w:val="4"/>
        </w:numPr>
        <w:rPr>
          <w:color w:val="auto"/>
        </w:rPr>
      </w:pPr>
      <w:r>
        <w:rPr>
          <w:color w:val="auto"/>
        </w:rPr>
        <w:t>信息丧失商业价值（如产品停产、技术淘汰）；</w:t>
      </w:r>
    </w:p>
    <w:p w14:paraId="316B5072">
      <w:pPr>
        <w:pStyle w:val="21"/>
        <w:numPr>
          <w:ilvl w:val="0"/>
          <w:numId w:val="0"/>
        </w:numPr>
        <w:ind w:left="288" w:leftChars="0" w:hanging="288" w:firstLineChars="0"/>
        <w:rPr>
          <w:color w:val="auto"/>
        </w:rPr>
      </w:pPr>
      <w:r>
        <w:rPr>
          <w:color w:val="auto"/>
        </w:rPr>
        <w:t>流程：保密管理部每年度组织解密评估，提出解密建议，报保密委员会审批后，删除密级标识、解除访问限制，并记录解密过程。</w:t>
      </w:r>
    </w:p>
    <w:p w14:paraId="69C53B8F">
      <w:pPr>
        <w:pStyle w:val="4"/>
        <w:ind w:left="0" w:leftChars="0"/>
        <w:outlineLvl w:val="1"/>
        <w:rPr>
          <w:color w:val="auto"/>
        </w:rPr>
      </w:pPr>
      <w:bookmarkStart w:id="34" w:name="_Toc31676"/>
      <w:r>
        <w:rPr>
          <w:color w:val="auto"/>
        </w:rPr>
        <w:t>4.4 商业秘密存证与公证</w:t>
      </w:r>
      <w:bookmarkEnd w:id="34"/>
    </w:p>
    <w:p w14:paraId="0CD33403">
      <w:pPr>
        <w:pStyle w:val="21"/>
        <w:rPr>
          <w:color w:val="auto"/>
        </w:rPr>
      </w:pPr>
      <w:r>
        <w:rPr>
          <w:color w:val="auto"/>
        </w:rPr>
        <w:t>为应对潜在侵权纠纷，轴承企业应对核心商业秘密进行存证：</w:t>
      </w:r>
    </w:p>
    <w:p w14:paraId="5A126888">
      <w:pPr>
        <w:pStyle w:val="21"/>
        <w:numPr>
          <w:ilvl w:val="0"/>
          <w:numId w:val="0"/>
        </w:numPr>
        <w:ind w:left="288" w:leftChars="0" w:hanging="288" w:firstLineChars="0"/>
        <w:rPr>
          <w:color w:val="auto"/>
        </w:rPr>
      </w:pPr>
      <w:r>
        <w:rPr>
          <w:color w:val="auto"/>
        </w:rPr>
        <w:t>区块链存证：将核心技术信息（如热处理工艺参数、设计图纸）上传至第三方区块链存证平台，固定形成时间与内容，确保不可篡改；</w:t>
      </w:r>
    </w:p>
    <w:p w14:paraId="21DC5F62">
      <w:pPr>
        <w:pStyle w:val="21"/>
        <w:numPr>
          <w:ilvl w:val="0"/>
          <w:numId w:val="0"/>
        </w:numPr>
        <w:ind w:left="288" w:leftChars="0" w:hanging="288" w:firstLineChars="0"/>
        <w:rPr>
          <w:color w:val="auto"/>
        </w:rPr>
      </w:pPr>
      <w:r>
        <w:rPr>
          <w:color w:val="auto"/>
        </w:rPr>
        <w:t>公证存证：对重要商业秘密载体（如纸质工艺文件、电子文档）进行公证，由公证处出具公证书，作为维权时的有效证据；</w:t>
      </w:r>
    </w:p>
    <w:p w14:paraId="2949861E">
      <w:pPr>
        <w:pStyle w:val="21"/>
        <w:numPr>
          <w:ilvl w:val="0"/>
          <w:numId w:val="0"/>
        </w:numPr>
        <w:ind w:left="288" w:leftChars="0" w:hanging="288" w:firstLineChars="0"/>
        <w:rPr>
          <w:color w:val="auto"/>
        </w:rPr>
      </w:pPr>
      <w:r>
        <w:rPr>
          <w:color w:val="auto"/>
        </w:rPr>
        <w:t>内部存证：建立商业秘密管理档案，留存定密审批表、访问记录、流转台账、销毁记录，形成完整证据链。</w:t>
      </w:r>
    </w:p>
    <w:p w14:paraId="05092132">
      <w:pPr>
        <w:pStyle w:val="3"/>
        <w:ind w:left="0" w:leftChars="0"/>
        <w:outlineLvl w:val="0"/>
        <w:rPr>
          <w:color w:val="auto"/>
        </w:rPr>
      </w:pPr>
      <w:bookmarkStart w:id="35" w:name="_Toc6328"/>
      <w:r>
        <w:rPr>
          <w:color w:val="auto"/>
        </w:rPr>
        <w:t>五、商业秘密保护管理制度</w:t>
      </w:r>
      <w:bookmarkEnd w:id="35"/>
    </w:p>
    <w:p w14:paraId="0D3F3D33">
      <w:pPr>
        <w:pStyle w:val="4"/>
        <w:ind w:left="0" w:leftChars="0"/>
        <w:outlineLvl w:val="1"/>
        <w:rPr>
          <w:color w:val="auto"/>
        </w:rPr>
      </w:pPr>
      <w:bookmarkStart w:id="36" w:name="_Toc23420"/>
      <w:r>
        <w:rPr>
          <w:color w:val="auto"/>
        </w:rPr>
        <w:t>5.1 涉密人员管理制度</w:t>
      </w:r>
      <w:bookmarkEnd w:id="36"/>
    </w:p>
    <w:p w14:paraId="2C2F69BB">
      <w:pPr>
        <w:pStyle w:val="5"/>
        <w:ind w:left="0" w:leftChars="0"/>
        <w:outlineLvl w:val="2"/>
        <w:rPr>
          <w:color w:val="auto"/>
        </w:rPr>
      </w:pPr>
      <w:bookmarkStart w:id="37" w:name="_Toc1720"/>
      <w:r>
        <w:rPr>
          <w:color w:val="auto"/>
        </w:rPr>
        <w:t>5.1.1 入职管理</w:t>
      </w:r>
      <w:bookmarkEnd w:id="37"/>
    </w:p>
    <w:p w14:paraId="14285739">
      <w:pPr>
        <w:pStyle w:val="21"/>
        <w:numPr>
          <w:ilvl w:val="0"/>
          <w:numId w:val="5"/>
        </w:numPr>
        <w:rPr>
          <w:color w:val="auto"/>
        </w:rPr>
      </w:pPr>
      <w:r>
        <w:rPr>
          <w:color w:val="auto"/>
        </w:rPr>
        <w:t>背景调查：对拟录用的涉密岗位人员（如研发工程师），开展知识产权背景调查，核实其是否存在泄露前雇主商业秘密的记录，要求签署《不侵犯原单位商业秘密承诺书》（参考附录 E）；</w:t>
      </w:r>
    </w:p>
    <w:p w14:paraId="77E7C2F0">
      <w:pPr>
        <w:pStyle w:val="21"/>
        <w:numPr>
          <w:ilvl w:val="0"/>
          <w:numId w:val="5"/>
        </w:numPr>
        <w:rPr>
          <w:color w:val="auto"/>
        </w:rPr>
      </w:pPr>
      <w:r>
        <w:rPr>
          <w:color w:val="auto"/>
        </w:rPr>
        <w:t>保密告知：入职时向员工送达《企业商业秘密保护制度》，明确保密义务与法律责任，员工签字确认知悉；</w:t>
      </w:r>
    </w:p>
    <w:p w14:paraId="7083F8ED">
      <w:pPr>
        <w:pStyle w:val="21"/>
        <w:numPr>
          <w:ilvl w:val="0"/>
          <w:numId w:val="5"/>
        </w:numPr>
        <w:rPr>
          <w:color w:val="auto"/>
        </w:rPr>
      </w:pPr>
      <w:r>
        <w:rPr>
          <w:color w:val="auto"/>
        </w:rPr>
        <w:t>协议签订：与涉密岗位人员签订《保密协议》（参考附录 B），核心涉密人员（如技术总监）还需签订《竞业限制协议》（参考附录 C），明确竞业限制范围（如</w:t>
      </w:r>
      <w:r>
        <w:rPr>
          <w:rFonts w:hint="eastAsia"/>
          <w:color w:val="auto"/>
          <w:lang w:eastAsia="zh-CN"/>
        </w:rPr>
        <w:t>XX市</w:t>
      </w:r>
      <w:r>
        <w:rPr>
          <w:color w:val="auto"/>
        </w:rPr>
        <w:t>及周边 300 公里内轴承企业）、期限（不超过 2 年）及经济补偿（月补偿标准不低于离职前 12 个月平均工资的 30%）；</w:t>
      </w:r>
    </w:p>
    <w:p w14:paraId="18BA0ADC">
      <w:pPr>
        <w:pStyle w:val="21"/>
        <w:numPr>
          <w:ilvl w:val="0"/>
          <w:numId w:val="5"/>
        </w:numPr>
        <w:rPr>
          <w:color w:val="auto"/>
        </w:rPr>
      </w:pPr>
      <w:r>
        <w:rPr>
          <w:color w:val="auto"/>
        </w:rPr>
        <w:t>入职培训：组织新员工参加商业秘密保护培训，内容包括制度解读、泄密案例、保密技能，培训后考核，考核合格方可上岗。</w:t>
      </w:r>
    </w:p>
    <w:p w14:paraId="7DCF6F70">
      <w:pPr>
        <w:pStyle w:val="5"/>
        <w:ind w:left="0" w:leftChars="0"/>
        <w:outlineLvl w:val="2"/>
        <w:rPr>
          <w:color w:val="auto"/>
        </w:rPr>
      </w:pPr>
      <w:bookmarkStart w:id="38" w:name="_Toc10334"/>
      <w:r>
        <w:rPr>
          <w:color w:val="auto"/>
        </w:rPr>
        <w:t>5.1.2 在职管理</w:t>
      </w:r>
      <w:bookmarkEnd w:id="38"/>
    </w:p>
    <w:p w14:paraId="40AA950E">
      <w:pPr>
        <w:pStyle w:val="21"/>
        <w:numPr>
          <w:ilvl w:val="0"/>
          <w:numId w:val="6"/>
        </w:numPr>
        <w:rPr>
          <w:color w:val="auto"/>
        </w:rPr>
      </w:pPr>
      <w:r>
        <w:rPr>
          <w:color w:val="auto"/>
        </w:rPr>
        <w:t>定期培训：每季度开展 1 次保密培训，核心涉密人员每年参加 1 次外部专业培训（如轴承行业商业秘密保护研讨会），留存培训记录与考核成绩；</w:t>
      </w:r>
    </w:p>
    <w:p w14:paraId="757CD685">
      <w:pPr>
        <w:pStyle w:val="21"/>
        <w:numPr>
          <w:ilvl w:val="0"/>
          <w:numId w:val="6"/>
        </w:numPr>
        <w:rPr>
          <w:color w:val="auto"/>
        </w:rPr>
      </w:pPr>
      <w:r>
        <w:rPr>
          <w:color w:val="auto"/>
        </w:rPr>
        <w:t>保密承诺：每年组织涉密人员签署《年度保密承诺书》，重申保密义务；</w:t>
      </w:r>
    </w:p>
    <w:p w14:paraId="0C26F504">
      <w:pPr>
        <w:pStyle w:val="21"/>
        <w:numPr>
          <w:ilvl w:val="0"/>
          <w:numId w:val="6"/>
        </w:numPr>
        <w:rPr>
          <w:color w:val="auto"/>
        </w:rPr>
      </w:pPr>
      <w:r>
        <w:rPr>
          <w:color w:val="auto"/>
        </w:rPr>
        <w:t>权限管控：根据 “最小授权” 原则，为涉密人员分配信息访问权限，定期（每半年）核查权限，及时调整离职、转岗人员权限；</w:t>
      </w:r>
    </w:p>
    <w:p w14:paraId="74D91E45">
      <w:pPr>
        <w:pStyle w:val="21"/>
        <w:numPr>
          <w:ilvl w:val="0"/>
          <w:numId w:val="6"/>
        </w:numPr>
        <w:rPr>
          <w:color w:val="auto"/>
        </w:rPr>
      </w:pPr>
      <w:r>
        <w:rPr>
          <w:color w:val="auto"/>
        </w:rPr>
        <w:t>行为监督：禁止涉密人员在非涉密区域（如咖啡厅、宿舍）讨论商业秘密，禁止使用私人电脑、手机存储或传输涉密信息，涉密人员出差（尤其是赴竞争对手所在地）前需进行保密提醒，返回后核查电子设备。</w:t>
      </w:r>
    </w:p>
    <w:p w14:paraId="16F53D1C">
      <w:pPr>
        <w:pStyle w:val="5"/>
        <w:ind w:left="0" w:leftChars="0"/>
        <w:outlineLvl w:val="2"/>
        <w:rPr>
          <w:color w:val="auto"/>
        </w:rPr>
      </w:pPr>
      <w:bookmarkStart w:id="39" w:name="_Toc8073"/>
      <w:r>
        <w:rPr>
          <w:color w:val="auto"/>
        </w:rPr>
        <w:t>5.1.3 离职管理</w:t>
      </w:r>
      <w:bookmarkEnd w:id="39"/>
    </w:p>
    <w:p w14:paraId="737E9651">
      <w:pPr>
        <w:pStyle w:val="21"/>
        <w:numPr>
          <w:ilvl w:val="0"/>
          <w:numId w:val="7"/>
        </w:numPr>
        <w:rPr>
          <w:color w:val="auto"/>
        </w:rPr>
      </w:pPr>
      <w:r>
        <w:rPr>
          <w:color w:val="auto"/>
        </w:rPr>
        <w:t>保密提醒：离职前，由保密管理部与人力资源部共同开展离职谈话，重申保密义务与竞业限制要求，书面告知禁止行为（如泄露客户信息、使用核心工艺）；</w:t>
      </w:r>
    </w:p>
    <w:p w14:paraId="77CD00F4">
      <w:pPr>
        <w:pStyle w:val="21"/>
        <w:numPr>
          <w:ilvl w:val="0"/>
          <w:numId w:val="7"/>
        </w:numPr>
        <w:rPr>
          <w:color w:val="auto"/>
        </w:rPr>
      </w:pPr>
      <w:r>
        <w:rPr>
          <w:color w:val="auto"/>
        </w:rPr>
        <w:t>载体交还：要求离职人员交还所有涉密载体，包括纸质文件、U 盘、移动硬盘、样品，核对《涉密载体交接清单》并签字确认，对其使用的办公电脑进行涉密信息清理与检测；</w:t>
      </w:r>
    </w:p>
    <w:p w14:paraId="4A5303B0">
      <w:pPr>
        <w:pStyle w:val="21"/>
        <w:numPr>
          <w:ilvl w:val="0"/>
          <w:numId w:val="7"/>
        </w:numPr>
        <w:rPr>
          <w:color w:val="auto"/>
        </w:rPr>
      </w:pPr>
      <w:r>
        <w:rPr>
          <w:color w:val="auto"/>
        </w:rPr>
        <w:t>权限回收：即时回收离职人员的涉密区域门禁权限、系统账号、涉密文件访问权限；</w:t>
      </w:r>
    </w:p>
    <w:p w14:paraId="542B48F7">
      <w:pPr>
        <w:pStyle w:val="21"/>
        <w:numPr>
          <w:ilvl w:val="0"/>
          <w:numId w:val="7"/>
        </w:numPr>
        <w:rPr>
          <w:color w:val="auto"/>
        </w:rPr>
      </w:pPr>
      <w:r>
        <w:rPr>
          <w:color w:val="auto"/>
        </w:rPr>
        <w:t>脱密管理：核心涉密人员离职后进入脱密期（不超过 6 个月），脱密期内不得入职竞争对手企业，企业按约定支付脱密期工资；</w:t>
      </w:r>
    </w:p>
    <w:p w14:paraId="7A146C40">
      <w:pPr>
        <w:pStyle w:val="21"/>
        <w:numPr>
          <w:ilvl w:val="0"/>
          <w:numId w:val="7"/>
        </w:numPr>
        <w:rPr>
          <w:color w:val="auto"/>
        </w:rPr>
      </w:pPr>
      <w:r>
        <w:rPr>
          <w:color w:val="auto"/>
        </w:rPr>
        <w:t>后续跟踪：对签订竞业限制协议的离职人员，每季度核查其任职情况（如要求提供新单位劳动合同、社保缴纳证明），发现违约及时追究责任。</w:t>
      </w:r>
    </w:p>
    <w:p w14:paraId="560DC9F5">
      <w:pPr>
        <w:pStyle w:val="4"/>
        <w:ind w:left="0" w:leftChars="0"/>
        <w:outlineLvl w:val="1"/>
        <w:rPr>
          <w:color w:val="auto"/>
        </w:rPr>
      </w:pPr>
      <w:bookmarkStart w:id="40" w:name="_Toc4898"/>
      <w:r>
        <w:rPr>
          <w:color w:val="auto"/>
        </w:rPr>
        <w:t>5.2 涉密载体管理制度</w:t>
      </w:r>
      <w:bookmarkEnd w:id="40"/>
    </w:p>
    <w:p w14:paraId="5A8CF870">
      <w:pPr>
        <w:pStyle w:val="5"/>
        <w:ind w:left="0" w:leftChars="0"/>
        <w:outlineLvl w:val="2"/>
        <w:rPr>
          <w:color w:val="auto"/>
        </w:rPr>
      </w:pPr>
      <w:bookmarkStart w:id="41" w:name="_Toc9402"/>
      <w:r>
        <w:rPr>
          <w:color w:val="auto"/>
        </w:rPr>
        <w:t>5.2.1 载体制作</w:t>
      </w:r>
      <w:bookmarkEnd w:id="41"/>
    </w:p>
    <w:p w14:paraId="2FEC9F43">
      <w:pPr>
        <w:pStyle w:val="21"/>
        <w:numPr>
          <w:ilvl w:val="0"/>
          <w:numId w:val="8"/>
        </w:numPr>
        <w:rPr>
          <w:color w:val="auto"/>
        </w:rPr>
      </w:pPr>
      <w:r>
        <w:rPr>
          <w:color w:val="auto"/>
        </w:rPr>
        <w:t>纸质载体：涉密文件制作需使用企业专用涉密打印机，标注密级、制作日期、份数，多余稿件即时销毁；</w:t>
      </w:r>
    </w:p>
    <w:p w14:paraId="02966317">
      <w:pPr>
        <w:pStyle w:val="21"/>
        <w:numPr>
          <w:ilvl w:val="0"/>
          <w:numId w:val="8"/>
        </w:numPr>
        <w:rPr>
          <w:color w:val="auto"/>
        </w:rPr>
      </w:pPr>
      <w:r>
        <w:rPr>
          <w:color w:val="auto"/>
        </w:rPr>
        <w:t>电子载体：涉密电子文档需添加水印（含作者、日期），使用企业指定加密软件加密（如设置打开密码、限制复制），禁止使用私人软件制作；</w:t>
      </w:r>
    </w:p>
    <w:p w14:paraId="7D6C2CA0">
      <w:pPr>
        <w:pStyle w:val="21"/>
        <w:numPr>
          <w:ilvl w:val="0"/>
          <w:numId w:val="8"/>
        </w:numPr>
        <w:rPr>
          <w:color w:val="auto"/>
        </w:rPr>
      </w:pPr>
      <w:r>
        <w:rPr>
          <w:color w:val="auto"/>
        </w:rPr>
        <w:t>实物载体：未量产轴承样品需标注 “涉密样品” 及编号，专用模具需刻制唯一标识，便于追溯。</w:t>
      </w:r>
    </w:p>
    <w:p w14:paraId="1F83DE11">
      <w:pPr>
        <w:pStyle w:val="5"/>
        <w:ind w:left="0" w:leftChars="0"/>
        <w:outlineLvl w:val="2"/>
        <w:rPr>
          <w:color w:val="auto"/>
        </w:rPr>
      </w:pPr>
      <w:bookmarkStart w:id="42" w:name="_Toc956"/>
      <w:r>
        <w:rPr>
          <w:color w:val="auto"/>
        </w:rPr>
        <w:t>5.2.2 载体收发与传递</w:t>
      </w:r>
      <w:bookmarkEnd w:id="42"/>
    </w:p>
    <w:p w14:paraId="0704A1D4">
      <w:pPr>
        <w:pStyle w:val="21"/>
        <w:numPr>
          <w:ilvl w:val="0"/>
          <w:numId w:val="9"/>
        </w:numPr>
        <w:rPr>
          <w:color w:val="auto"/>
        </w:rPr>
      </w:pPr>
      <w:r>
        <w:rPr>
          <w:color w:val="auto"/>
        </w:rPr>
        <w:t>收发登记：建立《涉密载体收发台账》，记录载体名称、密级、收发人、时间、用途，收发人签字确认；</w:t>
      </w:r>
    </w:p>
    <w:p w14:paraId="4BB215D2">
      <w:pPr>
        <w:pStyle w:val="21"/>
        <w:numPr>
          <w:ilvl w:val="0"/>
          <w:numId w:val="9"/>
        </w:numPr>
        <w:rPr>
          <w:color w:val="auto"/>
        </w:rPr>
      </w:pPr>
      <w:r>
        <w:rPr>
          <w:color w:val="auto"/>
        </w:rPr>
        <w:t>内部传递：核心秘密载体由 2 人当面传递，重要秘密载体通过企业内部涉密物流通道传递，禁止托人代传；</w:t>
      </w:r>
    </w:p>
    <w:p w14:paraId="5F42A2CC">
      <w:pPr>
        <w:pStyle w:val="21"/>
        <w:numPr>
          <w:ilvl w:val="0"/>
          <w:numId w:val="9"/>
        </w:numPr>
        <w:rPr>
          <w:color w:val="auto"/>
        </w:rPr>
      </w:pPr>
      <w:r>
        <w:rPr>
          <w:color w:val="auto"/>
        </w:rPr>
        <w:t>外部传递：因业务需要对外传递涉密载体（如向客户提供定制轴承设计方案），需先签订《商务合作保密协议》（参考附录 D），传递时采用加密包装，标注 “涉密文件，请勿拆封”，通过专人或保密快递传递。</w:t>
      </w:r>
    </w:p>
    <w:p w14:paraId="5671EF04">
      <w:pPr>
        <w:pStyle w:val="5"/>
        <w:ind w:left="0" w:leftChars="0"/>
        <w:outlineLvl w:val="2"/>
        <w:rPr>
          <w:color w:val="auto"/>
        </w:rPr>
      </w:pPr>
      <w:bookmarkStart w:id="43" w:name="_Toc24708"/>
      <w:r>
        <w:rPr>
          <w:color w:val="auto"/>
        </w:rPr>
        <w:t>5.2.3 载体存储</w:t>
      </w:r>
      <w:bookmarkEnd w:id="43"/>
    </w:p>
    <w:p w14:paraId="6901D247">
      <w:pPr>
        <w:pStyle w:val="21"/>
        <w:numPr>
          <w:ilvl w:val="0"/>
          <w:numId w:val="10"/>
        </w:numPr>
        <w:rPr>
          <w:color w:val="auto"/>
        </w:rPr>
      </w:pPr>
      <w:r>
        <w:rPr>
          <w:color w:val="auto"/>
        </w:rPr>
        <w:t>纸质载体：核心秘密存放于双人双锁保密柜，重要秘密存放于带密码的保密柜，一般秘密存放于普通文件柜，存放地点需安装监控；</w:t>
      </w:r>
    </w:p>
    <w:p w14:paraId="64DC1D83">
      <w:pPr>
        <w:pStyle w:val="21"/>
        <w:numPr>
          <w:ilvl w:val="0"/>
          <w:numId w:val="10"/>
        </w:numPr>
        <w:rPr>
          <w:color w:val="auto"/>
        </w:rPr>
      </w:pPr>
      <w:r>
        <w:rPr>
          <w:color w:val="auto"/>
        </w:rPr>
        <w:t>电子载体：核心秘密电子载体存储于离线服务器，重要秘密存储于加密局域网服务器，一般秘密存储于设置权限的共享盘，禁止存储于私人电子设备或公共云盘；</w:t>
      </w:r>
    </w:p>
    <w:p w14:paraId="3BA85602">
      <w:pPr>
        <w:pStyle w:val="21"/>
        <w:numPr>
          <w:ilvl w:val="0"/>
          <w:numId w:val="10"/>
        </w:numPr>
        <w:rPr>
          <w:color w:val="auto"/>
        </w:rPr>
      </w:pPr>
      <w:r>
        <w:rPr>
          <w:color w:val="auto"/>
        </w:rPr>
        <w:t>实物载体：涉密样品存放于加密样品库（需门禁与监控），专用模具存放于封闭仓库，由专人管理，建立《实物载体库存台账》，定期盘点。</w:t>
      </w:r>
    </w:p>
    <w:p w14:paraId="66A57EA6">
      <w:pPr>
        <w:pStyle w:val="5"/>
        <w:ind w:left="0" w:leftChars="0"/>
        <w:outlineLvl w:val="2"/>
        <w:rPr>
          <w:color w:val="auto"/>
        </w:rPr>
      </w:pPr>
      <w:bookmarkStart w:id="44" w:name="_Toc32053"/>
      <w:r>
        <w:rPr>
          <w:color w:val="auto"/>
        </w:rPr>
        <w:t>5.2.4 载体维修与销毁</w:t>
      </w:r>
      <w:bookmarkEnd w:id="44"/>
    </w:p>
    <w:p w14:paraId="5F1683D5">
      <w:pPr>
        <w:pStyle w:val="21"/>
        <w:numPr>
          <w:ilvl w:val="0"/>
          <w:numId w:val="11"/>
        </w:numPr>
        <w:rPr>
          <w:color w:val="auto"/>
        </w:rPr>
      </w:pPr>
      <w:r>
        <w:rPr>
          <w:color w:val="auto"/>
        </w:rPr>
        <w:t>维修：涉密电子载体（如涉密硬盘）需维修时，由企业专人陪同，送至有保密资质的机构维修，禁止维修人员拷贝数据；无法维修的，按销毁流程处理；</w:t>
      </w:r>
    </w:p>
    <w:p w14:paraId="1864F451">
      <w:pPr>
        <w:pStyle w:val="21"/>
        <w:numPr>
          <w:ilvl w:val="0"/>
          <w:numId w:val="11"/>
        </w:numPr>
        <w:rPr>
          <w:color w:val="auto"/>
        </w:rPr>
      </w:pPr>
      <w:r>
        <w:rPr>
          <w:color w:val="auto"/>
        </w:rPr>
        <w:t>销毁：</w:t>
      </w:r>
    </w:p>
    <w:p w14:paraId="410E27C3">
      <w:pPr>
        <w:pStyle w:val="21"/>
        <w:numPr>
          <w:ilvl w:val="1"/>
          <w:numId w:val="0"/>
        </w:numPr>
        <w:ind w:left="720" w:leftChars="0" w:hanging="288" w:firstLineChars="0"/>
        <w:rPr>
          <w:color w:val="auto"/>
        </w:rPr>
      </w:pPr>
      <w:r>
        <w:rPr>
          <w:color w:val="auto"/>
        </w:rPr>
        <w:t>纸质载体：使用专业碎纸机粉碎（核心秘密需粉碎至颗粒度≤2mm），或送至指定机构焚烧，留存销毁记录；</w:t>
      </w:r>
    </w:p>
    <w:p w14:paraId="0D8A0810">
      <w:pPr>
        <w:pStyle w:val="21"/>
        <w:numPr>
          <w:ilvl w:val="1"/>
          <w:numId w:val="0"/>
        </w:numPr>
        <w:ind w:left="720" w:leftChars="0" w:hanging="288" w:firstLineChars="0"/>
        <w:rPr>
          <w:color w:val="auto"/>
        </w:rPr>
      </w:pPr>
      <w:r>
        <w:rPr>
          <w:color w:val="auto"/>
        </w:rPr>
        <w:t>电子载体：使用数据擦除软件（如 DBAN）彻底删除数据，核心秘密载体需物理销毁（如硬盘粉碎）；</w:t>
      </w:r>
    </w:p>
    <w:p w14:paraId="08211934">
      <w:pPr>
        <w:pStyle w:val="21"/>
        <w:numPr>
          <w:ilvl w:val="1"/>
          <w:numId w:val="0"/>
        </w:numPr>
        <w:ind w:left="720" w:leftChars="0" w:hanging="288" w:firstLineChars="0"/>
        <w:rPr>
          <w:color w:val="auto"/>
        </w:rPr>
      </w:pPr>
      <w:r>
        <w:rPr>
          <w:color w:val="auto"/>
        </w:rPr>
        <w:t>实物载体：涉密样品、模具拆解后销毁，或委托专业机构处理，确保无法复原。</w:t>
      </w:r>
    </w:p>
    <w:p w14:paraId="573FA390">
      <w:pPr>
        <w:pStyle w:val="4"/>
        <w:ind w:left="0" w:leftChars="0"/>
        <w:outlineLvl w:val="1"/>
        <w:rPr>
          <w:color w:val="auto"/>
        </w:rPr>
      </w:pPr>
      <w:bookmarkStart w:id="45" w:name="_Toc27832"/>
      <w:r>
        <w:rPr>
          <w:color w:val="auto"/>
        </w:rPr>
        <w:t>5.3 涉密区域管理制度</w:t>
      </w:r>
      <w:bookmarkEnd w:id="45"/>
    </w:p>
    <w:p w14:paraId="316DA834">
      <w:pPr>
        <w:pStyle w:val="5"/>
        <w:ind w:left="0" w:leftChars="0"/>
        <w:outlineLvl w:val="2"/>
        <w:rPr>
          <w:color w:val="auto"/>
        </w:rPr>
      </w:pPr>
      <w:bookmarkStart w:id="46" w:name="_Toc29014"/>
      <w:r>
        <w:rPr>
          <w:color w:val="auto"/>
        </w:rPr>
        <w:t>5.3.1 区域划分与标识</w:t>
      </w:r>
      <w:bookmarkEnd w:id="46"/>
    </w:p>
    <w:p w14:paraId="1E88209A">
      <w:pPr>
        <w:pStyle w:val="21"/>
        <w:numPr>
          <w:ilvl w:val="0"/>
          <w:numId w:val="12"/>
        </w:numPr>
        <w:rPr>
          <w:color w:val="auto"/>
        </w:rPr>
      </w:pPr>
      <w:r>
        <w:rPr>
          <w:color w:val="auto"/>
        </w:rPr>
        <w:t>划分标准：根据商业秘密密集程度，将企业区域划分为核心涉密区、重要涉密区、一般涉密区、非涉密区；</w:t>
      </w:r>
    </w:p>
    <w:p w14:paraId="03786503">
      <w:pPr>
        <w:pStyle w:val="21"/>
        <w:numPr>
          <w:ilvl w:val="1"/>
          <w:numId w:val="0"/>
        </w:numPr>
        <w:ind w:left="720" w:leftChars="0" w:hanging="288" w:firstLineChars="0"/>
        <w:rPr>
          <w:color w:val="auto"/>
        </w:rPr>
      </w:pPr>
      <w:r>
        <w:rPr>
          <w:color w:val="auto"/>
        </w:rPr>
        <w:t>核心涉密区：热处理车间、研发实验室、服务器机房；</w:t>
      </w:r>
    </w:p>
    <w:p w14:paraId="02745103">
      <w:pPr>
        <w:pStyle w:val="21"/>
        <w:numPr>
          <w:ilvl w:val="1"/>
          <w:numId w:val="0"/>
        </w:numPr>
        <w:ind w:left="720" w:leftChars="0" w:hanging="288" w:firstLineChars="0"/>
        <w:rPr>
          <w:color w:val="auto"/>
        </w:rPr>
      </w:pPr>
      <w:r>
        <w:rPr>
          <w:color w:val="auto"/>
        </w:rPr>
        <w:t>重要涉密区：精密磨削车间、装配核心工序区、涉密文件档案室；</w:t>
      </w:r>
    </w:p>
    <w:p w14:paraId="13337014">
      <w:pPr>
        <w:pStyle w:val="21"/>
        <w:numPr>
          <w:ilvl w:val="1"/>
          <w:numId w:val="0"/>
        </w:numPr>
        <w:ind w:left="720" w:leftChars="0" w:hanging="288" w:firstLineChars="0"/>
        <w:rPr>
          <w:color w:val="auto"/>
        </w:rPr>
      </w:pPr>
      <w:r>
        <w:rPr>
          <w:color w:val="auto"/>
        </w:rPr>
        <w:t>一般涉密区：采购部办公室、销售部客户接待室；</w:t>
      </w:r>
    </w:p>
    <w:p w14:paraId="7012652D">
      <w:pPr>
        <w:pStyle w:val="21"/>
        <w:numPr>
          <w:ilvl w:val="1"/>
          <w:numId w:val="0"/>
        </w:numPr>
        <w:ind w:left="720" w:leftChars="0" w:hanging="288" w:firstLineChars="0"/>
        <w:rPr>
          <w:color w:val="auto"/>
        </w:rPr>
      </w:pPr>
      <w:r>
        <w:rPr>
          <w:color w:val="auto"/>
        </w:rPr>
        <w:t>非涉密区：食堂、员工宿舍、公共会议室；</w:t>
      </w:r>
    </w:p>
    <w:p w14:paraId="3E8546A2">
      <w:pPr>
        <w:pStyle w:val="21"/>
        <w:numPr>
          <w:ilvl w:val="0"/>
          <w:numId w:val="0"/>
        </w:numPr>
        <w:ind w:leftChars="0"/>
        <w:rPr>
          <w:color w:val="auto"/>
        </w:rPr>
      </w:pPr>
      <w:r>
        <w:rPr>
          <w:rFonts w:hint="eastAsia"/>
          <w:color w:val="auto"/>
          <w:lang w:val="en-US" w:eastAsia="zh-CN"/>
        </w:rPr>
        <w:t>2.</w:t>
      </w:r>
      <w:r>
        <w:rPr>
          <w:color w:val="auto"/>
        </w:rPr>
        <w:t>标识设置：在涉密区域入口处张贴明显标识，注明密级、禁止行为（如 “核心涉密区，禁止拍照、录音”）、管理责任人及联系方式。</w:t>
      </w:r>
    </w:p>
    <w:p w14:paraId="67038024">
      <w:pPr>
        <w:pStyle w:val="5"/>
        <w:ind w:left="0" w:leftChars="0"/>
        <w:outlineLvl w:val="2"/>
        <w:rPr>
          <w:color w:val="auto"/>
        </w:rPr>
      </w:pPr>
      <w:bookmarkStart w:id="47" w:name="_Toc15927"/>
      <w:r>
        <w:rPr>
          <w:color w:val="auto"/>
        </w:rPr>
        <w:t>5.3.2 人员准入管理</w:t>
      </w:r>
      <w:bookmarkEnd w:id="47"/>
    </w:p>
    <w:p w14:paraId="7C3505A6">
      <w:pPr>
        <w:pStyle w:val="21"/>
        <w:numPr>
          <w:ilvl w:val="0"/>
          <w:numId w:val="13"/>
        </w:numPr>
        <w:rPr>
          <w:color w:val="auto"/>
        </w:rPr>
      </w:pPr>
      <w:r>
        <w:rPr>
          <w:color w:val="auto"/>
        </w:rPr>
        <w:t>内部人员：核心涉密区需指纹 + 人脸识别双认证，重要涉密区需门禁卡认证，一般涉密区需岗位授权；</w:t>
      </w:r>
    </w:p>
    <w:p w14:paraId="552840A9">
      <w:pPr>
        <w:pStyle w:val="21"/>
        <w:numPr>
          <w:ilvl w:val="0"/>
          <w:numId w:val="0"/>
        </w:numPr>
        <w:ind w:leftChars="0"/>
        <w:rPr>
          <w:color w:val="auto"/>
        </w:rPr>
      </w:pPr>
      <w:r>
        <w:rPr>
          <w:rFonts w:hint="eastAsia"/>
          <w:color w:val="auto"/>
          <w:lang w:val="en-US" w:eastAsia="zh-CN"/>
        </w:rPr>
        <w:t>2.</w:t>
      </w:r>
      <w:r>
        <w:rPr>
          <w:color w:val="auto"/>
        </w:rPr>
        <w:t>外部人员：</w:t>
      </w:r>
    </w:p>
    <w:p w14:paraId="3D2BC260">
      <w:pPr>
        <w:pStyle w:val="21"/>
        <w:numPr>
          <w:ilvl w:val="1"/>
          <w:numId w:val="0"/>
        </w:numPr>
        <w:ind w:left="720" w:leftChars="0" w:hanging="288" w:firstLineChars="0"/>
        <w:rPr>
          <w:color w:val="auto"/>
        </w:rPr>
      </w:pPr>
      <w:r>
        <w:rPr>
          <w:color w:val="auto"/>
        </w:rPr>
        <w:t>客户、供应商等外部人员需进入涉密区域的，需经部门负责人审批，签订《临时保密承诺书》，由专人陪同；</w:t>
      </w:r>
    </w:p>
    <w:p w14:paraId="7678B102">
      <w:pPr>
        <w:pStyle w:val="21"/>
        <w:numPr>
          <w:ilvl w:val="1"/>
          <w:numId w:val="0"/>
        </w:numPr>
        <w:ind w:left="720" w:leftChars="0" w:hanging="288" w:firstLineChars="0"/>
        <w:rPr>
          <w:color w:val="auto"/>
        </w:rPr>
      </w:pPr>
      <w:r>
        <w:rPr>
          <w:color w:val="auto"/>
        </w:rPr>
        <w:t>临时施工、维修人员需进入涉密区域的，除审批与陪同外，还需登记携带的电子设备（如手机、相机），禁止携带存储设备；</w:t>
      </w:r>
    </w:p>
    <w:p w14:paraId="78B671E6">
      <w:pPr>
        <w:pStyle w:val="21"/>
        <w:numPr>
          <w:ilvl w:val="0"/>
          <w:numId w:val="0"/>
        </w:numPr>
        <w:ind w:leftChars="0"/>
        <w:rPr>
          <w:color w:val="auto"/>
        </w:rPr>
      </w:pPr>
      <w:r>
        <w:rPr>
          <w:rFonts w:hint="eastAsia"/>
          <w:color w:val="auto"/>
          <w:lang w:val="en-US" w:eastAsia="zh-CN"/>
        </w:rPr>
        <w:t>3.</w:t>
      </w:r>
      <w:r>
        <w:rPr>
          <w:color w:val="auto"/>
        </w:rPr>
        <w:t>准入记录：涉密区域入口安装门禁系统与视频监控，记录人员进出时间、事由，监控录像保存不少于 3 个月。</w:t>
      </w:r>
    </w:p>
    <w:p w14:paraId="0BB3A5D2">
      <w:pPr>
        <w:pStyle w:val="5"/>
        <w:ind w:left="0" w:leftChars="0"/>
        <w:outlineLvl w:val="2"/>
        <w:rPr>
          <w:color w:val="auto"/>
        </w:rPr>
      </w:pPr>
      <w:bookmarkStart w:id="48" w:name="_Toc2775"/>
      <w:r>
        <w:rPr>
          <w:color w:val="auto"/>
        </w:rPr>
        <w:t>5.3.3 区域内保密措施</w:t>
      </w:r>
      <w:bookmarkEnd w:id="48"/>
    </w:p>
    <w:p w14:paraId="4CD1C97D">
      <w:pPr>
        <w:pStyle w:val="21"/>
        <w:numPr>
          <w:ilvl w:val="0"/>
          <w:numId w:val="14"/>
        </w:numPr>
        <w:rPr>
          <w:color w:val="auto"/>
        </w:rPr>
      </w:pPr>
      <w:r>
        <w:rPr>
          <w:color w:val="auto"/>
        </w:rPr>
        <w:t>设备管控：核心涉密区禁止携带手机、相机、U 盘等电子设备，入口处设置储物柜存放个人物品；重要涉密区可携带手机，但需关闭拍照、录音功能；</w:t>
      </w:r>
    </w:p>
    <w:p w14:paraId="64E9668D">
      <w:pPr>
        <w:pStyle w:val="21"/>
        <w:numPr>
          <w:ilvl w:val="0"/>
          <w:numId w:val="14"/>
        </w:numPr>
        <w:rPr>
          <w:color w:val="auto"/>
        </w:rPr>
      </w:pPr>
      <w:r>
        <w:rPr>
          <w:color w:val="auto"/>
        </w:rPr>
        <w:t>行为管控：禁止在涉密区域内讨论与工作无关的商业秘密，禁止私自复制、拍摄涉密文件或设备，禁止无关人员停留；</w:t>
      </w:r>
    </w:p>
    <w:p w14:paraId="5A0D0587">
      <w:pPr>
        <w:pStyle w:val="21"/>
        <w:numPr>
          <w:ilvl w:val="0"/>
          <w:numId w:val="14"/>
        </w:numPr>
        <w:rPr>
          <w:color w:val="auto"/>
        </w:rPr>
      </w:pPr>
      <w:r>
        <w:rPr>
          <w:color w:val="auto"/>
        </w:rPr>
        <w:t>环境管控：涉密区域内的电脑、打印机等设备需设置密码，禁止连接公共网络；定期清理区域内废纸、废料，防止涉密信息泄露；</w:t>
      </w:r>
    </w:p>
    <w:p w14:paraId="7D3596AF">
      <w:pPr>
        <w:pStyle w:val="21"/>
        <w:numPr>
          <w:ilvl w:val="0"/>
          <w:numId w:val="14"/>
        </w:numPr>
        <w:rPr>
          <w:color w:val="auto"/>
        </w:rPr>
      </w:pPr>
      <w:r>
        <w:rPr>
          <w:color w:val="auto"/>
        </w:rPr>
        <w:t>定期检查：保密管理部每周对涉密区域进行 1 次检查，重点核查门禁记录、监控运行、设备安全，发现问题及时整改。</w:t>
      </w:r>
    </w:p>
    <w:p w14:paraId="2850E185">
      <w:pPr>
        <w:pStyle w:val="4"/>
        <w:ind w:left="0" w:leftChars="0"/>
        <w:outlineLvl w:val="1"/>
        <w:rPr>
          <w:color w:val="auto"/>
        </w:rPr>
      </w:pPr>
      <w:bookmarkStart w:id="49" w:name="_Toc227"/>
      <w:r>
        <w:rPr>
          <w:color w:val="auto"/>
        </w:rPr>
        <w:t>5.4 涉密设备管理制度</w:t>
      </w:r>
      <w:bookmarkEnd w:id="49"/>
    </w:p>
    <w:p w14:paraId="0428499C">
      <w:pPr>
        <w:pStyle w:val="5"/>
        <w:ind w:left="0" w:leftChars="0"/>
        <w:outlineLvl w:val="2"/>
        <w:rPr>
          <w:color w:val="auto"/>
        </w:rPr>
      </w:pPr>
      <w:bookmarkStart w:id="50" w:name="_Toc27117"/>
      <w:r>
        <w:rPr>
          <w:color w:val="auto"/>
        </w:rPr>
        <w:t>5.4.1 设备采购与登记</w:t>
      </w:r>
      <w:bookmarkEnd w:id="50"/>
    </w:p>
    <w:p w14:paraId="23970185">
      <w:pPr>
        <w:pStyle w:val="21"/>
        <w:numPr>
          <w:ilvl w:val="0"/>
          <w:numId w:val="15"/>
        </w:numPr>
        <w:rPr>
          <w:color w:val="auto"/>
        </w:rPr>
      </w:pPr>
      <w:r>
        <w:rPr>
          <w:color w:val="auto"/>
        </w:rPr>
        <w:t>采购：涉密设备（如涉密计算机、专用检测设备）需从有资质的供应商采购，优先选择具备加密功能的设备；</w:t>
      </w:r>
    </w:p>
    <w:p w14:paraId="345988A1">
      <w:pPr>
        <w:pStyle w:val="21"/>
        <w:numPr>
          <w:ilvl w:val="0"/>
          <w:numId w:val="15"/>
        </w:numPr>
        <w:rPr>
          <w:color w:val="auto"/>
        </w:rPr>
      </w:pPr>
      <w:r>
        <w:rPr>
          <w:color w:val="auto"/>
        </w:rPr>
        <w:t>登记：建立《涉密设备台账》，记录设备名称、型号、编号、采购日期、使用部门、责任人、密级，设备粘贴涉密标识。</w:t>
      </w:r>
    </w:p>
    <w:p w14:paraId="3ACDF1E2">
      <w:pPr>
        <w:pStyle w:val="5"/>
        <w:ind w:left="0" w:leftChars="0"/>
        <w:outlineLvl w:val="2"/>
        <w:rPr>
          <w:color w:val="auto"/>
        </w:rPr>
      </w:pPr>
      <w:bookmarkStart w:id="51" w:name="_Toc28783"/>
      <w:r>
        <w:rPr>
          <w:color w:val="auto"/>
        </w:rPr>
        <w:t>5.4.2 设备使用管理</w:t>
      </w:r>
      <w:bookmarkEnd w:id="51"/>
    </w:p>
    <w:p w14:paraId="5E590837">
      <w:pPr>
        <w:pStyle w:val="21"/>
        <w:numPr>
          <w:ilvl w:val="0"/>
          <w:numId w:val="0"/>
        </w:numPr>
        <w:ind w:leftChars="0"/>
        <w:outlineLvl w:val="3"/>
        <w:rPr>
          <w:color w:val="auto"/>
        </w:rPr>
      </w:pPr>
      <w:r>
        <w:rPr>
          <w:rFonts w:hint="eastAsia"/>
          <w:color w:val="auto"/>
          <w:lang w:val="en-US" w:eastAsia="zh-CN"/>
        </w:rPr>
        <w:t>1.</w:t>
      </w:r>
      <w:r>
        <w:rPr>
          <w:color w:val="auto"/>
        </w:rPr>
        <w:t>涉密计算机：</w:t>
      </w:r>
    </w:p>
    <w:p w14:paraId="4A828EF3">
      <w:pPr>
        <w:pStyle w:val="21"/>
        <w:numPr>
          <w:ilvl w:val="1"/>
          <w:numId w:val="0"/>
        </w:numPr>
        <w:ind w:left="720" w:leftChars="0" w:hanging="288" w:firstLineChars="0"/>
        <w:rPr>
          <w:color w:val="auto"/>
        </w:rPr>
      </w:pPr>
      <w:r>
        <w:rPr>
          <w:color w:val="auto"/>
        </w:rPr>
        <w:t>禁止连接互联网、公共 WiFi，禁止使用私人 U 盘、移动硬盘；</w:t>
      </w:r>
    </w:p>
    <w:p w14:paraId="4E095933">
      <w:pPr>
        <w:pStyle w:val="21"/>
        <w:numPr>
          <w:ilvl w:val="1"/>
          <w:numId w:val="0"/>
        </w:numPr>
        <w:ind w:left="720" w:leftChars="0" w:hanging="288" w:firstLineChars="0"/>
        <w:rPr>
          <w:color w:val="auto"/>
        </w:rPr>
      </w:pPr>
      <w:r>
        <w:rPr>
          <w:color w:val="auto"/>
        </w:rPr>
        <w:t>安装加密软件（如 BitLocker）、防病毒软件，定期更新系统与病毒库；</w:t>
      </w:r>
    </w:p>
    <w:p w14:paraId="7E9CC3F5">
      <w:pPr>
        <w:pStyle w:val="21"/>
        <w:numPr>
          <w:ilvl w:val="1"/>
          <w:numId w:val="0"/>
        </w:numPr>
        <w:ind w:left="720" w:leftChars="0" w:hanging="288" w:firstLineChars="0"/>
        <w:rPr>
          <w:color w:val="auto"/>
        </w:rPr>
      </w:pPr>
      <w:r>
        <w:rPr>
          <w:color w:val="auto"/>
        </w:rPr>
        <w:t>设置开机密码（复杂度需满足 “大小写字母 + 数字 + 特殊符号”），屏幕保护密码（等待时间不超过 5 分钟）；</w:t>
      </w:r>
    </w:p>
    <w:p w14:paraId="1147FB3E">
      <w:pPr>
        <w:pStyle w:val="21"/>
        <w:numPr>
          <w:ilvl w:val="1"/>
          <w:numId w:val="0"/>
        </w:numPr>
        <w:ind w:left="720" w:leftChars="0" w:hanging="288" w:firstLineChars="0"/>
        <w:rPr>
          <w:color w:val="auto"/>
        </w:rPr>
      </w:pPr>
      <w:r>
        <w:rPr>
          <w:color w:val="auto"/>
        </w:rPr>
        <w:t>禁止存储非涉密信息，定期备份涉密数据（备份介质加密存储）；</w:t>
      </w:r>
    </w:p>
    <w:p w14:paraId="309CBF04">
      <w:pPr>
        <w:pStyle w:val="21"/>
        <w:numPr>
          <w:ilvl w:val="0"/>
          <w:numId w:val="0"/>
        </w:numPr>
        <w:ind w:leftChars="0"/>
        <w:outlineLvl w:val="3"/>
        <w:rPr>
          <w:color w:val="auto"/>
        </w:rPr>
      </w:pPr>
      <w:r>
        <w:rPr>
          <w:rFonts w:hint="eastAsia"/>
          <w:color w:val="auto"/>
          <w:lang w:val="en-US" w:eastAsia="zh-CN"/>
        </w:rPr>
        <w:t>2.</w:t>
      </w:r>
      <w:r>
        <w:rPr>
          <w:color w:val="auto"/>
        </w:rPr>
        <w:t>专用生产设备（如数控磨床、热处理炉）：</w:t>
      </w:r>
    </w:p>
    <w:p w14:paraId="1C7D0485">
      <w:pPr>
        <w:pStyle w:val="21"/>
        <w:numPr>
          <w:ilvl w:val="1"/>
          <w:numId w:val="0"/>
        </w:numPr>
        <w:ind w:left="720" w:leftChars="0" w:hanging="288" w:firstLineChars="0"/>
        <w:rPr>
          <w:color w:val="auto"/>
        </w:rPr>
      </w:pPr>
      <w:r>
        <w:rPr>
          <w:color w:val="auto"/>
        </w:rPr>
        <w:t>设备参数设置需密码授权，修改参数需记录（修改人、时间、原因）；</w:t>
      </w:r>
    </w:p>
    <w:p w14:paraId="08ABABAE">
      <w:pPr>
        <w:pStyle w:val="21"/>
        <w:numPr>
          <w:ilvl w:val="1"/>
          <w:numId w:val="0"/>
        </w:numPr>
        <w:ind w:left="720" w:leftChars="0" w:hanging="288" w:firstLineChars="0"/>
        <w:rPr>
          <w:color w:val="auto"/>
        </w:rPr>
      </w:pPr>
      <w:r>
        <w:rPr>
          <w:color w:val="auto"/>
        </w:rPr>
        <w:t>设备操作手册标注密级，由专人保管，禁止私自复印；</w:t>
      </w:r>
    </w:p>
    <w:p w14:paraId="1890D1B1">
      <w:pPr>
        <w:pStyle w:val="21"/>
        <w:numPr>
          <w:ilvl w:val="1"/>
          <w:numId w:val="0"/>
        </w:numPr>
        <w:ind w:left="720" w:leftChars="0" w:hanging="288" w:firstLineChars="0"/>
        <w:rPr>
          <w:color w:val="auto"/>
        </w:rPr>
      </w:pPr>
      <w:r>
        <w:rPr>
          <w:color w:val="auto"/>
        </w:rPr>
        <w:t>设备运行数据（如加工精度、温度曲线）自动加密存储，定期导出备份；</w:t>
      </w:r>
    </w:p>
    <w:p w14:paraId="60AA2187">
      <w:pPr>
        <w:pStyle w:val="21"/>
        <w:numPr>
          <w:ilvl w:val="0"/>
          <w:numId w:val="0"/>
        </w:numPr>
        <w:ind w:leftChars="0"/>
        <w:outlineLvl w:val="3"/>
        <w:rPr>
          <w:color w:val="auto"/>
        </w:rPr>
      </w:pPr>
      <w:r>
        <w:rPr>
          <w:rFonts w:hint="eastAsia"/>
          <w:color w:val="auto"/>
          <w:lang w:val="en-US" w:eastAsia="zh-CN"/>
        </w:rPr>
        <w:t>3.</w:t>
      </w:r>
      <w:r>
        <w:rPr>
          <w:color w:val="auto"/>
        </w:rPr>
        <w:t>检测设备：</w:t>
      </w:r>
    </w:p>
    <w:p w14:paraId="0B058437">
      <w:pPr>
        <w:pStyle w:val="21"/>
        <w:numPr>
          <w:ilvl w:val="1"/>
          <w:numId w:val="0"/>
        </w:numPr>
        <w:ind w:left="720" w:leftChars="0" w:hanging="288" w:firstLineChars="0"/>
        <w:rPr>
          <w:color w:val="auto"/>
        </w:rPr>
      </w:pPr>
      <w:r>
        <w:rPr>
          <w:color w:val="auto"/>
        </w:rPr>
        <w:t>检测数据需加密存储，禁止私自导出；</w:t>
      </w:r>
    </w:p>
    <w:p w14:paraId="48169380">
      <w:pPr>
        <w:pStyle w:val="21"/>
        <w:numPr>
          <w:ilvl w:val="1"/>
          <w:numId w:val="0"/>
        </w:numPr>
        <w:ind w:left="720" w:leftChars="0" w:hanging="288" w:firstLineChars="0"/>
        <w:rPr>
          <w:color w:val="auto"/>
        </w:rPr>
      </w:pPr>
      <w:r>
        <w:rPr>
          <w:color w:val="auto"/>
        </w:rPr>
        <w:t>设备校准记录标注密级，留存于保密档案室。</w:t>
      </w:r>
    </w:p>
    <w:p w14:paraId="0A526EE2">
      <w:pPr>
        <w:pStyle w:val="5"/>
        <w:ind w:left="0" w:leftChars="0"/>
        <w:outlineLvl w:val="2"/>
        <w:rPr>
          <w:color w:val="auto"/>
        </w:rPr>
      </w:pPr>
      <w:bookmarkStart w:id="52" w:name="_Toc28273"/>
      <w:r>
        <w:rPr>
          <w:color w:val="auto"/>
        </w:rPr>
        <w:t>5.4.3 设备维修与报废</w:t>
      </w:r>
      <w:bookmarkEnd w:id="52"/>
    </w:p>
    <w:p w14:paraId="07B7C2A4">
      <w:pPr>
        <w:pStyle w:val="21"/>
        <w:numPr>
          <w:ilvl w:val="0"/>
          <w:numId w:val="16"/>
        </w:numPr>
        <w:rPr>
          <w:color w:val="auto"/>
        </w:rPr>
      </w:pPr>
      <w:r>
        <w:rPr>
          <w:color w:val="auto"/>
        </w:rPr>
        <w:t>维修：涉密设备需维修时，由企业专人陪同，维修前清理涉密数据或拆除存储介质；外部维修人员需签订《维修保密协议》，禁止拷贝设备数据；</w:t>
      </w:r>
    </w:p>
    <w:p w14:paraId="3CD2C987">
      <w:pPr>
        <w:pStyle w:val="21"/>
        <w:numPr>
          <w:ilvl w:val="0"/>
          <w:numId w:val="16"/>
        </w:numPr>
        <w:rPr>
          <w:color w:val="auto"/>
        </w:rPr>
      </w:pPr>
      <w:r>
        <w:rPr>
          <w:color w:val="auto"/>
        </w:rPr>
        <w:t>报废：涉密设备报废前，需经保密管理部审批，对存储介质进行物理销毁（如硬盘粉碎），设备主体标注 “已报废” 后处理，留存报废记录。</w:t>
      </w:r>
    </w:p>
    <w:p w14:paraId="3D90FD63">
      <w:pPr>
        <w:pStyle w:val="4"/>
        <w:ind w:left="0" w:leftChars="0"/>
        <w:outlineLvl w:val="1"/>
        <w:rPr>
          <w:color w:val="auto"/>
        </w:rPr>
      </w:pPr>
      <w:bookmarkStart w:id="53" w:name="_Toc31878"/>
      <w:r>
        <w:rPr>
          <w:color w:val="auto"/>
        </w:rPr>
        <w:t>5.5 对外合作管理制度</w:t>
      </w:r>
      <w:bookmarkEnd w:id="53"/>
    </w:p>
    <w:p w14:paraId="192EC814">
      <w:pPr>
        <w:pStyle w:val="5"/>
        <w:ind w:left="0" w:leftChars="0"/>
        <w:outlineLvl w:val="2"/>
        <w:rPr>
          <w:color w:val="auto"/>
        </w:rPr>
      </w:pPr>
      <w:bookmarkStart w:id="54" w:name="_Toc17385"/>
      <w:r>
        <w:rPr>
          <w:color w:val="auto"/>
        </w:rPr>
        <w:t>5.5.1 合作方保密管理</w:t>
      </w:r>
      <w:bookmarkEnd w:id="54"/>
    </w:p>
    <w:p w14:paraId="0047910F">
      <w:pPr>
        <w:pStyle w:val="21"/>
        <w:numPr>
          <w:ilvl w:val="0"/>
          <w:numId w:val="17"/>
        </w:numPr>
        <w:rPr>
          <w:color w:val="auto"/>
        </w:rPr>
      </w:pPr>
      <w:r>
        <w:rPr>
          <w:color w:val="auto"/>
        </w:rPr>
        <w:t>合作前审查：对拟合作的供应商、客户、第三方机构（如检测机构），审查其保密资质与信誉，优先选择有商业秘密保护经验的合作方；</w:t>
      </w:r>
    </w:p>
    <w:p w14:paraId="4F965D18">
      <w:pPr>
        <w:pStyle w:val="21"/>
        <w:numPr>
          <w:ilvl w:val="0"/>
          <w:numId w:val="17"/>
        </w:numPr>
        <w:rPr>
          <w:color w:val="auto"/>
        </w:rPr>
      </w:pPr>
      <w:r>
        <w:rPr>
          <w:color w:val="auto"/>
        </w:rPr>
        <w:t>协议签订：合作前签订《商务合作保密协议》（参考附录 D），明确保密范围（如供应商需保密原材料采购价格，客户需保密定制轴承设计方案）、保密期限（合作期间及合作终止后 2-3 年）、违约责任（如违约金数额、损失赔偿方式）；</w:t>
      </w:r>
    </w:p>
    <w:p w14:paraId="344B6260">
      <w:pPr>
        <w:pStyle w:val="21"/>
        <w:numPr>
          <w:ilvl w:val="0"/>
          <w:numId w:val="17"/>
        </w:numPr>
        <w:rPr>
          <w:color w:val="auto"/>
        </w:rPr>
      </w:pPr>
      <w:r>
        <w:rPr>
          <w:color w:val="auto"/>
        </w:rPr>
        <w:t>信息披露：向合作方披露涉密信息时，遵循 “最小必要” 原则，仅提供完成合作所需的信息，核心秘密需经保密委员会审批；</w:t>
      </w:r>
    </w:p>
    <w:p w14:paraId="14C3017B">
      <w:pPr>
        <w:pStyle w:val="21"/>
        <w:numPr>
          <w:ilvl w:val="0"/>
          <w:numId w:val="17"/>
        </w:numPr>
        <w:rPr>
          <w:color w:val="auto"/>
        </w:rPr>
      </w:pPr>
      <w:r>
        <w:rPr>
          <w:color w:val="auto"/>
        </w:rPr>
        <w:t>过程监督：合作期间，定期核查合作方保密措施落实情况（如查看其涉密信息存储方式），发现泄密风险及时要求整改。</w:t>
      </w:r>
    </w:p>
    <w:p w14:paraId="5C2866F8">
      <w:pPr>
        <w:pStyle w:val="5"/>
        <w:ind w:left="0" w:leftChars="0"/>
        <w:outlineLvl w:val="2"/>
        <w:rPr>
          <w:color w:val="auto"/>
        </w:rPr>
      </w:pPr>
      <w:bookmarkStart w:id="55" w:name="_Toc15114"/>
      <w:r>
        <w:rPr>
          <w:color w:val="auto"/>
        </w:rPr>
        <w:t>5.5.2 招投标保密管理</w:t>
      </w:r>
      <w:bookmarkEnd w:id="55"/>
    </w:p>
    <w:p w14:paraId="4AFEA6FA">
      <w:pPr>
        <w:pStyle w:val="21"/>
        <w:numPr>
          <w:ilvl w:val="0"/>
          <w:numId w:val="18"/>
        </w:numPr>
        <w:rPr>
          <w:color w:val="auto"/>
        </w:rPr>
      </w:pPr>
      <w:r>
        <w:rPr>
          <w:color w:val="auto"/>
        </w:rPr>
        <w:t>标底保密：招投标标底由专人编制，加密存储于离线服务器，仅允许法定代表人、投标负责人查看，编制过程禁止记录纸质底稿；</w:t>
      </w:r>
    </w:p>
    <w:p w14:paraId="55DDDDD6">
      <w:pPr>
        <w:pStyle w:val="21"/>
        <w:numPr>
          <w:ilvl w:val="0"/>
          <w:numId w:val="18"/>
        </w:numPr>
        <w:rPr>
          <w:color w:val="auto"/>
        </w:rPr>
      </w:pPr>
      <w:r>
        <w:rPr>
          <w:color w:val="auto"/>
        </w:rPr>
        <w:t>标书保密：投标文件中的涉密信息（如技术方案、报价策略）需标注密级，密封包装，开标前禁止泄露；</w:t>
      </w:r>
    </w:p>
    <w:p w14:paraId="1252CE7F">
      <w:pPr>
        <w:pStyle w:val="21"/>
        <w:numPr>
          <w:ilvl w:val="0"/>
          <w:numId w:val="18"/>
        </w:numPr>
        <w:rPr>
          <w:color w:val="auto"/>
        </w:rPr>
      </w:pPr>
      <w:r>
        <w:rPr>
          <w:color w:val="auto"/>
        </w:rPr>
        <w:t>评标保密：评标现场设置为涉密区域，禁止无关人员进入，评标专家需签订《评标保密承诺书》，禁止泄露评标过程与结果；</w:t>
      </w:r>
    </w:p>
    <w:p w14:paraId="13FB634A">
      <w:pPr>
        <w:pStyle w:val="21"/>
        <w:numPr>
          <w:ilvl w:val="0"/>
          <w:numId w:val="18"/>
        </w:numPr>
        <w:rPr>
          <w:color w:val="auto"/>
        </w:rPr>
      </w:pPr>
      <w:r>
        <w:rPr>
          <w:color w:val="auto"/>
        </w:rPr>
        <w:t>合作终止：未中标的投标文件需及时回收销毁，中标后与中标方签订保密协议，明确项目实施过程中的保密义务。</w:t>
      </w:r>
    </w:p>
    <w:p w14:paraId="0E9C7B7E">
      <w:pPr>
        <w:pStyle w:val="5"/>
        <w:ind w:left="0" w:leftChars="0"/>
        <w:outlineLvl w:val="2"/>
        <w:rPr>
          <w:color w:val="auto"/>
        </w:rPr>
      </w:pPr>
      <w:bookmarkStart w:id="56" w:name="_Toc18239"/>
      <w:r>
        <w:rPr>
          <w:color w:val="auto"/>
        </w:rPr>
        <w:t>5.5.3 行政检查与参观保密管理</w:t>
      </w:r>
      <w:bookmarkEnd w:id="56"/>
    </w:p>
    <w:p w14:paraId="369F1D64">
      <w:pPr>
        <w:pStyle w:val="21"/>
        <w:numPr>
          <w:ilvl w:val="0"/>
          <w:numId w:val="19"/>
        </w:numPr>
        <w:rPr>
          <w:color w:val="auto"/>
        </w:rPr>
      </w:pPr>
      <w:r>
        <w:rPr>
          <w:color w:val="auto"/>
        </w:rPr>
        <w:t>行政检查：政府部门（如市场监管局、环保局）开展检查时，如涉及商业秘密，企业应提前告知检查人员保密义务，对涉密区域或文件采取隐密措施（如遮盖涉密图纸、避开核心车间），必要时签订《行政检查保密协议》；</w:t>
      </w:r>
    </w:p>
    <w:p w14:paraId="2D6359AB">
      <w:pPr>
        <w:pStyle w:val="21"/>
        <w:numPr>
          <w:ilvl w:val="0"/>
          <w:numId w:val="19"/>
        </w:numPr>
        <w:rPr>
          <w:color w:val="auto"/>
        </w:rPr>
      </w:pPr>
      <w:r>
        <w:rPr>
          <w:color w:val="auto"/>
        </w:rPr>
        <w:t>参观管理：</w:t>
      </w:r>
    </w:p>
    <w:p w14:paraId="08651D38">
      <w:pPr>
        <w:pStyle w:val="21"/>
        <w:numPr>
          <w:ilvl w:val="1"/>
          <w:numId w:val="0"/>
        </w:numPr>
        <w:ind w:left="720" w:leftChars="0" w:hanging="288" w:firstLineChars="0"/>
        <w:rPr>
          <w:color w:val="auto"/>
        </w:rPr>
      </w:pPr>
      <w:r>
        <w:rPr>
          <w:color w:val="auto"/>
        </w:rPr>
        <w:t>制定固定参观路线，避开核心涉密区域（如热处理车间、研发实验室）；</w:t>
      </w:r>
    </w:p>
    <w:p w14:paraId="10BBACA1">
      <w:pPr>
        <w:pStyle w:val="21"/>
        <w:numPr>
          <w:ilvl w:val="1"/>
          <w:numId w:val="0"/>
        </w:numPr>
        <w:ind w:left="720" w:leftChars="0" w:hanging="288" w:firstLineChars="0"/>
        <w:rPr>
          <w:color w:val="auto"/>
        </w:rPr>
      </w:pPr>
      <w:r>
        <w:rPr>
          <w:color w:val="auto"/>
        </w:rPr>
        <w:t>参观前，要求参观者签订《参观保密承诺书》，寄存手机、相机等电子设备；</w:t>
      </w:r>
    </w:p>
    <w:p w14:paraId="2A59CB98">
      <w:pPr>
        <w:pStyle w:val="21"/>
        <w:numPr>
          <w:ilvl w:val="1"/>
          <w:numId w:val="0"/>
        </w:numPr>
        <w:ind w:left="720" w:leftChars="0" w:hanging="288" w:firstLineChars="0"/>
        <w:rPr>
          <w:color w:val="auto"/>
        </w:rPr>
      </w:pPr>
      <w:r>
        <w:rPr>
          <w:color w:val="auto"/>
        </w:rPr>
        <w:t>参观过程中，由专人陪同讲解，禁止参观者触摸涉密设备、拍摄涉密信息；</w:t>
      </w:r>
    </w:p>
    <w:p w14:paraId="63AD4087">
      <w:pPr>
        <w:pStyle w:val="21"/>
        <w:numPr>
          <w:ilvl w:val="1"/>
          <w:numId w:val="0"/>
        </w:numPr>
        <w:ind w:left="720" w:leftChars="0" w:hanging="288" w:firstLineChars="0"/>
        <w:rPr>
          <w:color w:val="auto"/>
        </w:rPr>
      </w:pPr>
      <w:r>
        <w:rPr>
          <w:color w:val="auto"/>
        </w:rPr>
        <w:t>参观后，回收发放的宣传资料（如含涉密信息的产品手册），核查是否有信息泄露。</w:t>
      </w:r>
    </w:p>
    <w:p w14:paraId="0BB2886A">
      <w:pPr>
        <w:pStyle w:val="3"/>
        <w:ind w:left="0" w:leftChars="0"/>
        <w:outlineLvl w:val="0"/>
        <w:rPr>
          <w:color w:val="auto"/>
        </w:rPr>
      </w:pPr>
      <w:bookmarkStart w:id="57" w:name="_Toc388"/>
      <w:r>
        <w:rPr>
          <w:color w:val="auto"/>
        </w:rPr>
        <w:t>六、商业秘密全流程管理体系</w:t>
      </w:r>
      <w:bookmarkEnd w:id="57"/>
    </w:p>
    <w:p w14:paraId="5566A640">
      <w:pPr>
        <w:pStyle w:val="4"/>
        <w:ind w:left="0" w:leftChars="0"/>
        <w:outlineLvl w:val="1"/>
        <w:rPr>
          <w:color w:val="auto"/>
        </w:rPr>
      </w:pPr>
      <w:bookmarkStart w:id="58" w:name="_Toc23287"/>
      <w:r>
        <w:rPr>
          <w:color w:val="auto"/>
        </w:rPr>
        <w:t>6.1 研发过程管理</w:t>
      </w:r>
      <w:bookmarkEnd w:id="58"/>
    </w:p>
    <w:p w14:paraId="445E684D">
      <w:pPr>
        <w:pStyle w:val="5"/>
        <w:ind w:left="0" w:leftChars="0"/>
        <w:outlineLvl w:val="2"/>
        <w:rPr>
          <w:color w:val="auto"/>
        </w:rPr>
      </w:pPr>
      <w:bookmarkStart w:id="59" w:name="_Toc1799"/>
      <w:r>
        <w:rPr>
          <w:color w:val="auto"/>
        </w:rPr>
        <w:t>6.1.1 研发立项阶段</w:t>
      </w:r>
      <w:bookmarkEnd w:id="59"/>
    </w:p>
    <w:p w14:paraId="45D2FB7B">
      <w:pPr>
        <w:pStyle w:val="21"/>
        <w:numPr>
          <w:ilvl w:val="0"/>
          <w:numId w:val="20"/>
        </w:numPr>
        <w:rPr>
          <w:color w:val="auto"/>
        </w:rPr>
      </w:pPr>
      <w:r>
        <w:rPr>
          <w:color w:val="auto"/>
        </w:rPr>
        <w:t>技术检索：研发立项前，由研发部联合保密管理部开展技术检索，通过专利数据库（如中国专利公布公告网）、行业文献数据库，排查现有技术，确保拟研发技术符合 “不为公众所知悉”；</w:t>
      </w:r>
    </w:p>
    <w:p w14:paraId="3EE6C1CD">
      <w:pPr>
        <w:pStyle w:val="21"/>
        <w:numPr>
          <w:ilvl w:val="0"/>
          <w:numId w:val="20"/>
        </w:numPr>
        <w:rPr>
          <w:color w:val="auto"/>
        </w:rPr>
      </w:pPr>
      <w:r>
        <w:rPr>
          <w:color w:val="auto"/>
        </w:rPr>
        <w:t>保护策略制定：根据检索结果，制定 “专利 + 商业秘密” 协同保护方案，例如：</w:t>
      </w:r>
    </w:p>
    <w:p w14:paraId="15719347">
      <w:pPr>
        <w:pStyle w:val="21"/>
        <w:numPr>
          <w:ilvl w:val="1"/>
          <w:numId w:val="0"/>
        </w:numPr>
        <w:ind w:left="720" w:leftChars="0" w:hanging="288" w:firstLineChars="0"/>
        <w:rPr>
          <w:color w:val="auto"/>
        </w:rPr>
      </w:pPr>
      <w:r>
        <w:rPr>
          <w:color w:val="auto"/>
        </w:rPr>
        <w:t>对轴承结构设计申请实用新型专利；</w:t>
      </w:r>
    </w:p>
    <w:p w14:paraId="3CF774C7">
      <w:pPr>
        <w:pStyle w:val="21"/>
        <w:numPr>
          <w:ilvl w:val="1"/>
          <w:numId w:val="0"/>
        </w:numPr>
        <w:ind w:left="720" w:leftChars="0" w:hanging="288" w:firstLineChars="0"/>
        <w:rPr>
          <w:color w:val="auto"/>
        </w:rPr>
      </w:pPr>
      <w:r>
        <w:rPr>
          <w:color w:val="auto"/>
        </w:rPr>
        <w:t>对核心热处理工艺参数采取商业秘密保护；</w:t>
      </w:r>
    </w:p>
    <w:p w14:paraId="3D57A0C8">
      <w:pPr>
        <w:pStyle w:val="21"/>
        <w:numPr>
          <w:ilvl w:val="0"/>
          <w:numId w:val="0"/>
        </w:numPr>
        <w:ind w:leftChars="0"/>
        <w:rPr>
          <w:color w:val="auto"/>
        </w:rPr>
      </w:pPr>
      <w:r>
        <w:rPr>
          <w:rFonts w:hint="eastAsia"/>
          <w:color w:val="auto"/>
          <w:lang w:val="en-US" w:eastAsia="zh-CN"/>
        </w:rPr>
        <w:t>3.</w:t>
      </w:r>
      <w:r>
        <w:rPr>
          <w:color w:val="auto"/>
        </w:rPr>
        <w:t>立项审批：研发立项报告需经保密委员会审批，明确研发过程中的保密要求（如涉密人员、涉密载体管理）。</w:t>
      </w:r>
    </w:p>
    <w:p w14:paraId="7E04D384">
      <w:pPr>
        <w:pStyle w:val="5"/>
        <w:ind w:left="0" w:leftChars="0"/>
        <w:outlineLvl w:val="2"/>
        <w:rPr>
          <w:color w:val="auto"/>
        </w:rPr>
      </w:pPr>
      <w:bookmarkStart w:id="60" w:name="_Toc9743"/>
      <w:r>
        <w:rPr>
          <w:color w:val="auto"/>
        </w:rPr>
        <w:t>6.1.2 研发实施阶段</w:t>
      </w:r>
      <w:bookmarkEnd w:id="60"/>
    </w:p>
    <w:p w14:paraId="737F1AF6">
      <w:pPr>
        <w:pStyle w:val="21"/>
        <w:numPr>
          <w:ilvl w:val="0"/>
          <w:numId w:val="21"/>
        </w:numPr>
        <w:rPr>
          <w:color w:val="auto"/>
        </w:rPr>
      </w:pPr>
      <w:r>
        <w:rPr>
          <w:color w:val="auto"/>
        </w:rPr>
        <w:t>团队管理：将研发项目拆分为若干子任务（如结构设计、材料选型、工艺优化），每个子任务由独立团队负责，团队间禁止随意交流核心数据；</w:t>
      </w:r>
    </w:p>
    <w:p w14:paraId="528BFC12">
      <w:pPr>
        <w:pStyle w:val="21"/>
        <w:numPr>
          <w:ilvl w:val="0"/>
          <w:numId w:val="21"/>
        </w:numPr>
        <w:rPr>
          <w:color w:val="auto"/>
        </w:rPr>
      </w:pPr>
      <w:r>
        <w:rPr>
          <w:color w:val="auto"/>
        </w:rPr>
        <w:t>数据管理：</w:t>
      </w:r>
    </w:p>
    <w:p w14:paraId="65F6AF35">
      <w:pPr>
        <w:pStyle w:val="21"/>
        <w:numPr>
          <w:ilvl w:val="1"/>
          <w:numId w:val="0"/>
        </w:numPr>
        <w:ind w:left="720" w:leftChars="0" w:hanging="288" w:firstLineChars="0"/>
        <w:rPr>
          <w:color w:val="auto"/>
        </w:rPr>
      </w:pPr>
      <w:r>
        <w:rPr>
          <w:color w:val="auto"/>
        </w:rPr>
        <w:t>实验记录需使用企业专用涉密笔记本，标注密级，禁止涂改，定期交保密档案室存档；</w:t>
      </w:r>
    </w:p>
    <w:p w14:paraId="296FB114">
      <w:pPr>
        <w:pStyle w:val="21"/>
        <w:numPr>
          <w:ilvl w:val="1"/>
          <w:numId w:val="0"/>
        </w:numPr>
        <w:ind w:left="720" w:leftChars="0" w:hanging="288" w:firstLineChars="0"/>
        <w:rPr>
          <w:color w:val="auto"/>
        </w:rPr>
      </w:pPr>
      <w:r>
        <w:rPr>
          <w:color w:val="auto"/>
        </w:rPr>
        <w:t>设计图纸（CAD 文件）需加密存储，设置版本控制，每次修改记录修改人、时间、内容；</w:t>
      </w:r>
    </w:p>
    <w:p w14:paraId="173752E1">
      <w:pPr>
        <w:pStyle w:val="21"/>
        <w:numPr>
          <w:ilvl w:val="1"/>
          <w:numId w:val="0"/>
        </w:numPr>
        <w:ind w:left="720" w:leftChars="0" w:hanging="288" w:firstLineChars="0"/>
        <w:rPr>
          <w:color w:val="auto"/>
        </w:rPr>
      </w:pPr>
      <w:r>
        <w:rPr>
          <w:color w:val="auto"/>
        </w:rPr>
        <w:t>实验数据（如轴承寿命测试数据）需实时上传至加密服务器，禁止存储于私人设备；</w:t>
      </w:r>
    </w:p>
    <w:p w14:paraId="47EF79CD">
      <w:pPr>
        <w:pStyle w:val="21"/>
        <w:numPr>
          <w:ilvl w:val="0"/>
          <w:numId w:val="0"/>
        </w:numPr>
        <w:ind w:leftChars="0"/>
        <w:rPr>
          <w:color w:val="auto"/>
        </w:rPr>
      </w:pPr>
      <w:r>
        <w:rPr>
          <w:rFonts w:hint="eastAsia"/>
          <w:color w:val="auto"/>
          <w:lang w:val="en-US" w:eastAsia="zh-CN"/>
        </w:rPr>
        <w:t>3.</w:t>
      </w:r>
      <w:r>
        <w:rPr>
          <w:color w:val="auto"/>
        </w:rPr>
        <w:t>实验室管理：研发实验室作为核心涉密区，实行双人双锁管理，进入需指纹 + 人脸识别，实验设备操作需授权，实验废料（如试块）及时销毁。</w:t>
      </w:r>
    </w:p>
    <w:p w14:paraId="25D1EABD">
      <w:pPr>
        <w:pStyle w:val="5"/>
        <w:ind w:left="0" w:leftChars="0"/>
        <w:outlineLvl w:val="2"/>
        <w:rPr>
          <w:color w:val="auto"/>
        </w:rPr>
      </w:pPr>
      <w:bookmarkStart w:id="61" w:name="_Toc14850"/>
      <w:r>
        <w:rPr>
          <w:color w:val="auto"/>
        </w:rPr>
        <w:t>6.1.3 研发成果阶段</w:t>
      </w:r>
      <w:bookmarkEnd w:id="61"/>
    </w:p>
    <w:p w14:paraId="64CEEF52">
      <w:pPr>
        <w:pStyle w:val="21"/>
        <w:numPr>
          <w:ilvl w:val="0"/>
          <w:numId w:val="22"/>
        </w:numPr>
        <w:rPr>
          <w:color w:val="auto"/>
        </w:rPr>
      </w:pPr>
      <w:r>
        <w:rPr>
          <w:color w:val="auto"/>
        </w:rPr>
        <w:t>成果评估：研发完成后，由研发部、保密管理部、法务部联合评估成果，确定可专利化技术与商业秘密范围；</w:t>
      </w:r>
    </w:p>
    <w:p w14:paraId="2170F968">
      <w:pPr>
        <w:pStyle w:val="21"/>
        <w:numPr>
          <w:ilvl w:val="0"/>
          <w:numId w:val="22"/>
        </w:numPr>
        <w:rPr>
          <w:color w:val="auto"/>
        </w:rPr>
      </w:pPr>
      <w:r>
        <w:rPr>
          <w:color w:val="auto"/>
        </w:rPr>
        <w:t>成果保护：</w:t>
      </w:r>
    </w:p>
    <w:p w14:paraId="1F5E2FBA">
      <w:pPr>
        <w:pStyle w:val="21"/>
        <w:numPr>
          <w:ilvl w:val="1"/>
          <w:numId w:val="0"/>
        </w:numPr>
        <w:ind w:left="720" w:leftChars="0" w:hanging="288" w:firstLineChars="0"/>
        <w:rPr>
          <w:color w:val="auto"/>
        </w:rPr>
      </w:pPr>
      <w:r>
        <w:rPr>
          <w:color w:val="auto"/>
        </w:rPr>
        <w:t>可专利化技术及时申请专利，专利申请文件需经保密审查，避免泄露核心秘密；</w:t>
      </w:r>
    </w:p>
    <w:p w14:paraId="054EF5D8">
      <w:pPr>
        <w:pStyle w:val="21"/>
        <w:numPr>
          <w:ilvl w:val="1"/>
          <w:numId w:val="0"/>
        </w:numPr>
        <w:ind w:left="720" w:leftChars="0" w:hanging="288" w:firstLineChars="0"/>
        <w:rPr>
          <w:color w:val="auto"/>
        </w:rPr>
      </w:pPr>
      <w:r>
        <w:rPr>
          <w:color w:val="auto"/>
        </w:rPr>
        <w:t>商业秘密成果（如工艺参数）纳入《商业秘密清单》，确定密级与知悉范围；</w:t>
      </w:r>
    </w:p>
    <w:p w14:paraId="1EC68E44">
      <w:pPr>
        <w:pStyle w:val="21"/>
        <w:numPr>
          <w:ilvl w:val="0"/>
          <w:numId w:val="0"/>
        </w:numPr>
        <w:ind w:leftChars="0"/>
        <w:rPr>
          <w:color w:val="auto"/>
        </w:rPr>
      </w:pPr>
      <w:r>
        <w:rPr>
          <w:rFonts w:hint="eastAsia"/>
          <w:color w:val="auto"/>
          <w:lang w:val="en-US" w:eastAsia="zh-CN"/>
        </w:rPr>
        <w:t>3.</w:t>
      </w:r>
      <w:r>
        <w:rPr>
          <w:color w:val="auto"/>
        </w:rPr>
        <w:t>成果归档：研发成果相关文件（设计图纸、实验报告、专利申请文件）整理后，存入保密档案室，电子版本加密存储。</w:t>
      </w:r>
    </w:p>
    <w:p w14:paraId="5C46F53A">
      <w:pPr>
        <w:pStyle w:val="4"/>
        <w:ind w:left="0" w:leftChars="0"/>
        <w:outlineLvl w:val="1"/>
        <w:rPr>
          <w:color w:val="auto"/>
        </w:rPr>
      </w:pPr>
      <w:bookmarkStart w:id="62" w:name="_Toc23286"/>
      <w:r>
        <w:rPr>
          <w:color w:val="auto"/>
        </w:rPr>
        <w:t>6.2 生产过程管理</w:t>
      </w:r>
      <w:bookmarkEnd w:id="62"/>
    </w:p>
    <w:p w14:paraId="3BAD9D15">
      <w:pPr>
        <w:pStyle w:val="5"/>
        <w:ind w:left="0" w:leftChars="0"/>
        <w:outlineLvl w:val="2"/>
        <w:rPr>
          <w:color w:val="auto"/>
        </w:rPr>
      </w:pPr>
      <w:bookmarkStart w:id="63" w:name="_Toc4575"/>
      <w:r>
        <w:rPr>
          <w:color w:val="auto"/>
        </w:rPr>
        <w:t>6.2.1 工艺参数管理</w:t>
      </w:r>
      <w:bookmarkEnd w:id="63"/>
    </w:p>
    <w:p w14:paraId="204E50AD">
      <w:pPr>
        <w:pStyle w:val="21"/>
        <w:numPr>
          <w:ilvl w:val="0"/>
          <w:numId w:val="23"/>
        </w:numPr>
        <w:rPr>
          <w:color w:val="auto"/>
        </w:rPr>
      </w:pPr>
      <w:r>
        <w:rPr>
          <w:color w:val="auto"/>
        </w:rPr>
        <w:t>参数设定：核心工艺参数（如热处理淬火温度、磨削进给量）由工艺部制定，加密存储于生产控制系统（如 PLC 系统），仅允许核心技术员修改，修改需记录；</w:t>
      </w:r>
    </w:p>
    <w:p w14:paraId="593F8195">
      <w:pPr>
        <w:pStyle w:val="21"/>
        <w:numPr>
          <w:ilvl w:val="0"/>
          <w:numId w:val="23"/>
        </w:numPr>
        <w:rPr>
          <w:color w:val="auto"/>
        </w:rPr>
      </w:pPr>
      <w:r>
        <w:rPr>
          <w:color w:val="auto"/>
        </w:rPr>
        <w:t>参数传递：工艺参数通过企业内部加密网络传递至生产车间，禁止纸质打印或口头传递；</w:t>
      </w:r>
    </w:p>
    <w:p w14:paraId="0B10082D">
      <w:pPr>
        <w:pStyle w:val="21"/>
        <w:numPr>
          <w:ilvl w:val="0"/>
          <w:numId w:val="23"/>
        </w:numPr>
        <w:rPr>
          <w:color w:val="auto"/>
        </w:rPr>
      </w:pPr>
      <w:r>
        <w:rPr>
          <w:color w:val="auto"/>
        </w:rPr>
        <w:t>参数监控：生产过程中，实时监控工艺参数，设置异常预警（如温度偏离设定值时自动报警），防止参数泄露或篡改。</w:t>
      </w:r>
    </w:p>
    <w:p w14:paraId="11D7B5CD">
      <w:pPr>
        <w:pStyle w:val="5"/>
        <w:ind w:left="0" w:leftChars="0"/>
        <w:outlineLvl w:val="2"/>
        <w:rPr>
          <w:color w:val="auto"/>
        </w:rPr>
      </w:pPr>
      <w:bookmarkStart w:id="64" w:name="_Toc20293"/>
      <w:r>
        <w:rPr>
          <w:color w:val="auto"/>
        </w:rPr>
        <w:t>6.2.2 生产车间管理</w:t>
      </w:r>
      <w:bookmarkEnd w:id="64"/>
    </w:p>
    <w:p w14:paraId="37CADAB0">
      <w:pPr>
        <w:pStyle w:val="21"/>
        <w:numPr>
          <w:ilvl w:val="0"/>
          <w:numId w:val="24"/>
        </w:numPr>
        <w:rPr>
          <w:color w:val="auto"/>
        </w:rPr>
      </w:pPr>
      <w:r>
        <w:rPr>
          <w:color w:val="auto"/>
        </w:rPr>
        <w:t>核心车间（如热处理车间、精密磨削车间）：</w:t>
      </w:r>
    </w:p>
    <w:p w14:paraId="06A1D57D">
      <w:pPr>
        <w:pStyle w:val="21"/>
        <w:numPr>
          <w:ilvl w:val="1"/>
          <w:numId w:val="0"/>
        </w:numPr>
        <w:ind w:left="720" w:leftChars="0" w:hanging="288" w:firstLineChars="0"/>
        <w:rPr>
          <w:color w:val="auto"/>
        </w:rPr>
      </w:pPr>
      <w:r>
        <w:rPr>
          <w:color w:val="auto"/>
        </w:rPr>
        <w:t>实行封闭管理，入口设置门禁与视频监控，仅允许授权人员进入；</w:t>
      </w:r>
    </w:p>
    <w:p w14:paraId="3AC738A9">
      <w:pPr>
        <w:pStyle w:val="21"/>
        <w:numPr>
          <w:ilvl w:val="1"/>
          <w:numId w:val="0"/>
        </w:numPr>
        <w:ind w:left="720" w:leftChars="0" w:hanging="288" w:firstLineChars="0"/>
        <w:rPr>
          <w:color w:val="auto"/>
        </w:rPr>
      </w:pPr>
      <w:r>
        <w:rPr>
          <w:color w:val="auto"/>
        </w:rPr>
        <w:t>禁止携带手机、相机等电子设备，车间内设置无线上网屏蔽装置；</w:t>
      </w:r>
    </w:p>
    <w:p w14:paraId="2E367739">
      <w:pPr>
        <w:pStyle w:val="21"/>
        <w:numPr>
          <w:ilvl w:val="1"/>
          <w:numId w:val="0"/>
        </w:numPr>
        <w:ind w:left="720" w:leftChars="0" w:hanging="288" w:firstLineChars="0"/>
        <w:rPr>
          <w:color w:val="auto"/>
        </w:rPr>
      </w:pPr>
      <w:r>
        <w:rPr>
          <w:color w:val="auto"/>
        </w:rPr>
        <w:t>生产记录（如生产批次、工艺参数）使用涉密计算机记录，加密存储；</w:t>
      </w:r>
    </w:p>
    <w:p w14:paraId="51C282B6">
      <w:pPr>
        <w:pStyle w:val="21"/>
        <w:numPr>
          <w:ilvl w:val="0"/>
          <w:numId w:val="0"/>
        </w:numPr>
        <w:ind w:leftChars="0"/>
        <w:outlineLvl w:val="3"/>
        <w:rPr>
          <w:color w:val="auto"/>
        </w:rPr>
      </w:pPr>
      <w:r>
        <w:rPr>
          <w:rFonts w:hint="eastAsia"/>
          <w:color w:val="auto"/>
          <w:lang w:val="en-US" w:eastAsia="zh-CN"/>
        </w:rPr>
        <w:t>2.</w:t>
      </w:r>
      <w:r>
        <w:rPr>
          <w:color w:val="auto"/>
        </w:rPr>
        <w:t>一般车间（如装配车间）：</w:t>
      </w:r>
    </w:p>
    <w:p w14:paraId="2B04EF67">
      <w:pPr>
        <w:pStyle w:val="21"/>
        <w:numPr>
          <w:ilvl w:val="1"/>
          <w:numId w:val="0"/>
        </w:numPr>
        <w:ind w:left="720" w:leftChars="0" w:hanging="288" w:firstLineChars="0"/>
        <w:rPr>
          <w:color w:val="auto"/>
        </w:rPr>
      </w:pPr>
      <w:r>
        <w:rPr>
          <w:color w:val="auto"/>
        </w:rPr>
        <w:t>划分涉密区域（如核心部件装配区）与非涉密区域，涉密区域设置标识；</w:t>
      </w:r>
    </w:p>
    <w:p w14:paraId="55583083">
      <w:pPr>
        <w:pStyle w:val="21"/>
        <w:numPr>
          <w:ilvl w:val="1"/>
          <w:numId w:val="0"/>
        </w:numPr>
        <w:ind w:left="720" w:leftChars="0" w:hanging="288" w:firstLineChars="0"/>
        <w:rPr>
          <w:color w:val="auto"/>
        </w:rPr>
      </w:pPr>
      <w:r>
        <w:rPr>
          <w:color w:val="auto"/>
        </w:rPr>
        <w:t>生产人员需佩戴工牌，禁止无关人员进入涉密区域；</w:t>
      </w:r>
    </w:p>
    <w:p w14:paraId="0BB23D7A">
      <w:pPr>
        <w:pStyle w:val="21"/>
        <w:numPr>
          <w:ilvl w:val="0"/>
          <w:numId w:val="0"/>
        </w:numPr>
        <w:ind w:leftChars="0"/>
        <w:rPr>
          <w:color w:val="auto"/>
        </w:rPr>
      </w:pPr>
      <w:r>
        <w:rPr>
          <w:rFonts w:hint="eastAsia"/>
          <w:color w:val="auto"/>
          <w:lang w:val="en-US" w:eastAsia="zh-CN"/>
        </w:rPr>
        <w:t>3.</w:t>
      </w:r>
      <w:r>
        <w:rPr>
          <w:color w:val="auto"/>
        </w:rPr>
        <w:t>质量检测：检测数据（如轴承精度检测报告）需加密存储，检测不合格品需单独存放，销毁前需经保密审批，防止竞争对手获取样品。</w:t>
      </w:r>
    </w:p>
    <w:p w14:paraId="5411F70E">
      <w:pPr>
        <w:pStyle w:val="5"/>
        <w:ind w:left="0" w:leftChars="0"/>
        <w:outlineLvl w:val="2"/>
        <w:rPr>
          <w:color w:val="auto"/>
        </w:rPr>
      </w:pPr>
      <w:bookmarkStart w:id="65" w:name="_Toc8801"/>
      <w:r>
        <w:rPr>
          <w:color w:val="auto"/>
        </w:rPr>
        <w:t>6.2.3 生产设备管理</w:t>
      </w:r>
      <w:bookmarkEnd w:id="65"/>
    </w:p>
    <w:p w14:paraId="6266F37C">
      <w:pPr>
        <w:pStyle w:val="21"/>
        <w:numPr>
          <w:ilvl w:val="0"/>
          <w:numId w:val="25"/>
        </w:numPr>
        <w:rPr>
          <w:color w:val="auto"/>
        </w:rPr>
      </w:pPr>
      <w:r>
        <w:rPr>
          <w:color w:val="auto"/>
        </w:rPr>
        <w:t>设备操作：核心生产设备（如数控磨床）需授权操作，操作人员需持证上岗，操作记录（如开机时间、加工数量）自动存储；</w:t>
      </w:r>
    </w:p>
    <w:p w14:paraId="620414CD">
      <w:pPr>
        <w:pStyle w:val="21"/>
        <w:numPr>
          <w:ilvl w:val="0"/>
          <w:numId w:val="25"/>
        </w:numPr>
        <w:rPr>
          <w:color w:val="auto"/>
        </w:rPr>
      </w:pPr>
      <w:r>
        <w:rPr>
          <w:color w:val="auto"/>
        </w:rPr>
        <w:t>设备维护：设备维护需由企业内部人员或有保密资质的外部人员进行，维护前清理设备内存储的工艺参数，维护过程禁止拍照或记录；</w:t>
      </w:r>
    </w:p>
    <w:p w14:paraId="7B5CC4CF">
      <w:pPr>
        <w:pStyle w:val="21"/>
        <w:numPr>
          <w:ilvl w:val="0"/>
          <w:numId w:val="25"/>
        </w:numPr>
        <w:rPr>
          <w:color w:val="auto"/>
        </w:rPr>
      </w:pPr>
      <w:r>
        <w:rPr>
          <w:color w:val="auto"/>
        </w:rPr>
        <w:t>设备报废：设备报废前，拆除存储工艺参数的芯片或硬盘，物理销毁后再处理设备主体。</w:t>
      </w:r>
    </w:p>
    <w:p w14:paraId="6240887E">
      <w:pPr>
        <w:pStyle w:val="4"/>
        <w:ind w:left="0" w:leftChars="0"/>
        <w:outlineLvl w:val="1"/>
        <w:rPr>
          <w:color w:val="auto"/>
        </w:rPr>
      </w:pPr>
      <w:bookmarkStart w:id="66" w:name="_Toc12820"/>
      <w:r>
        <w:rPr>
          <w:color w:val="auto"/>
        </w:rPr>
        <w:t>6.3 采购过程管理</w:t>
      </w:r>
      <w:bookmarkEnd w:id="66"/>
    </w:p>
    <w:p w14:paraId="072AF44C">
      <w:pPr>
        <w:pStyle w:val="5"/>
        <w:ind w:left="0" w:leftChars="0"/>
        <w:outlineLvl w:val="2"/>
        <w:rPr>
          <w:color w:val="auto"/>
        </w:rPr>
      </w:pPr>
      <w:bookmarkStart w:id="67" w:name="_Toc10008"/>
      <w:r>
        <w:rPr>
          <w:color w:val="auto"/>
        </w:rPr>
        <w:t>6.3.1 供应商管理</w:t>
      </w:r>
      <w:bookmarkEnd w:id="67"/>
    </w:p>
    <w:p w14:paraId="573F7910">
      <w:pPr>
        <w:pStyle w:val="21"/>
        <w:numPr>
          <w:ilvl w:val="0"/>
          <w:numId w:val="26"/>
        </w:numPr>
        <w:rPr>
          <w:color w:val="auto"/>
        </w:rPr>
      </w:pPr>
      <w:r>
        <w:rPr>
          <w:color w:val="auto"/>
        </w:rPr>
        <w:t>供应商筛选：建立供应商准入机制，审查供应商的保密能力（如是否有保密制度、涉密存储设备），优先选择与竞争对手无关联的供应商；</w:t>
      </w:r>
    </w:p>
    <w:p w14:paraId="1FCB8C2C">
      <w:pPr>
        <w:pStyle w:val="21"/>
        <w:numPr>
          <w:ilvl w:val="0"/>
          <w:numId w:val="26"/>
        </w:numPr>
        <w:rPr>
          <w:color w:val="auto"/>
        </w:rPr>
      </w:pPr>
      <w:r>
        <w:rPr>
          <w:color w:val="auto"/>
        </w:rPr>
        <w:t>合作协议：与供应商签订《采购保密协议》，明确供应商需保密的信息（如采购价格、采购数量、原材料技术标准），禁止供应商向第三方泄露；</w:t>
      </w:r>
    </w:p>
    <w:p w14:paraId="450C9CB3">
      <w:pPr>
        <w:pStyle w:val="21"/>
        <w:numPr>
          <w:ilvl w:val="0"/>
          <w:numId w:val="26"/>
        </w:numPr>
        <w:rPr>
          <w:color w:val="auto"/>
        </w:rPr>
      </w:pPr>
      <w:r>
        <w:rPr>
          <w:color w:val="auto"/>
        </w:rPr>
        <w:t>供应商评估：每年度对供应商保密措施落实情况进行评估，评估不合格的取消合作资格。</w:t>
      </w:r>
    </w:p>
    <w:p w14:paraId="6EC92487">
      <w:pPr>
        <w:pStyle w:val="5"/>
        <w:ind w:left="0" w:leftChars="0"/>
        <w:outlineLvl w:val="2"/>
        <w:rPr>
          <w:color w:val="auto"/>
        </w:rPr>
      </w:pPr>
      <w:bookmarkStart w:id="68" w:name="_Toc24099"/>
      <w:r>
        <w:rPr>
          <w:color w:val="auto"/>
        </w:rPr>
        <w:t>6.3.2 采购信息管理</w:t>
      </w:r>
      <w:bookmarkEnd w:id="68"/>
    </w:p>
    <w:p w14:paraId="69E243C5">
      <w:pPr>
        <w:pStyle w:val="21"/>
        <w:numPr>
          <w:ilvl w:val="0"/>
          <w:numId w:val="27"/>
        </w:numPr>
        <w:rPr>
          <w:color w:val="auto"/>
        </w:rPr>
      </w:pPr>
      <w:r>
        <w:rPr>
          <w:color w:val="auto"/>
        </w:rPr>
        <w:t>采购计划：采购计划（如月度采购量、原材料型号）加密存储，仅允许采购部负责人、高管查看；</w:t>
      </w:r>
    </w:p>
    <w:p w14:paraId="0253EF35">
      <w:pPr>
        <w:pStyle w:val="21"/>
        <w:numPr>
          <w:ilvl w:val="0"/>
          <w:numId w:val="27"/>
        </w:numPr>
        <w:rPr>
          <w:color w:val="auto"/>
        </w:rPr>
      </w:pPr>
      <w:r>
        <w:rPr>
          <w:color w:val="auto"/>
        </w:rPr>
        <w:t>采购价格：核心原材料（如高纯度轴承钢）采购价格实行保密管理，仅允许采购经理、财务总监查看，禁止向其他部门或人员泄露；</w:t>
      </w:r>
    </w:p>
    <w:p w14:paraId="1A100295">
      <w:pPr>
        <w:pStyle w:val="21"/>
        <w:numPr>
          <w:ilvl w:val="0"/>
          <w:numId w:val="27"/>
        </w:numPr>
        <w:rPr>
          <w:color w:val="auto"/>
        </w:rPr>
      </w:pPr>
      <w:r>
        <w:rPr>
          <w:color w:val="auto"/>
        </w:rPr>
        <w:t>采购合同：采购合同中涉及商业秘密的条款（如价格、付款方式）需标注密级，合同文本加密存储，纸质合同存入保密档案室。</w:t>
      </w:r>
    </w:p>
    <w:p w14:paraId="1F8EFFA9">
      <w:pPr>
        <w:pStyle w:val="5"/>
        <w:ind w:left="0" w:leftChars="0"/>
        <w:outlineLvl w:val="2"/>
        <w:rPr>
          <w:color w:val="auto"/>
        </w:rPr>
      </w:pPr>
      <w:bookmarkStart w:id="69" w:name="_Toc12143"/>
      <w:r>
        <w:rPr>
          <w:color w:val="auto"/>
        </w:rPr>
        <w:t>6.3.3 采购物资管理</w:t>
      </w:r>
      <w:bookmarkEnd w:id="69"/>
    </w:p>
    <w:p w14:paraId="1DA6A4E3">
      <w:pPr>
        <w:pStyle w:val="21"/>
        <w:numPr>
          <w:ilvl w:val="0"/>
          <w:numId w:val="28"/>
        </w:numPr>
        <w:rPr>
          <w:color w:val="auto"/>
        </w:rPr>
      </w:pPr>
      <w:r>
        <w:rPr>
          <w:color w:val="auto"/>
        </w:rPr>
        <w:t>物资验收：涉密物资（如专用轴承钢）验收需在涉密区域进行，验收记录加密存储，禁止无关人员参与；</w:t>
      </w:r>
    </w:p>
    <w:p w14:paraId="2064CAFD">
      <w:pPr>
        <w:pStyle w:val="21"/>
        <w:numPr>
          <w:ilvl w:val="0"/>
          <w:numId w:val="28"/>
        </w:numPr>
        <w:rPr>
          <w:color w:val="auto"/>
        </w:rPr>
      </w:pPr>
      <w:r>
        <w:rPr>
          <w:color w:val="auto"/>
        </w:rPr>
        <w:t>物资存储：涉密物资存放于加密仓库，建立库存台账，定期盘点，防止物资丢失或被替换；</w:t>
      </w:r>
    </w:p>
    <w:p w14:paraId="34D4AFF5">
      <w:pPr>
        <w:pStyle w:val="21"/>
        <w:numPr>
          <w:ilvl w:val="0"/>
          <w:numId w:val="28"/>
        </w:numPr>
        <w:rPr>
          <w:color w:val="auto"/>
        </w:rPr>
      </w:pPr>
      <w:r>
        <w:rPr>
          <w:color w:val="auto"/>
        </w:rPr>
        <w:t>物资使用：物资领用需履行审批手续，领用记录（如领用部门、用途、数量）加密存储，禁止私自挪用。</w:t>
      </w:r>
    </w:p>
    <w:p w14:paraId="3939C8E2">
      <w:pPr>
        <w:pStyle w:val="4"/>
        <w:ind w:left="0" w:leftChars="0"/>
        <w:outlineLvl w:val="1"/>
        <w:rPr>
          <w:color w:val="auto"/>
        </w:rPr>
      </w:pPr>
      <w:bookmarkStart w:id="70" w:name="_Toc28212"/>
      <w:r>
        <w:rPr>
          <w:color w:val="auto"/>
        </w:rPr>
        <w:t>6.4 销售过程管理</w:t>
      </w:r>
      <w:bookmarkEnd w:id="70"/>
    </w:p>
    <w:p w14:paraId="479E4BEC">
      <w:pPr>
        <w:pStyle w:val="5"/>
        <w:ind w:left="0" w:leftChars="0"/>
        <w:outlineLvl w:val="2"/>
        <w:rPr>
          <w:color w:val="auto"/>
        </w:rPr>
      </w:pPr>
      <w:bookmarkStart w:id="71" w:name="_Toc6167"/>
      <w:r>
        <w:rPr>
          <w:color w:val="auto"/>
        </w:rPr>
        <w:t>6.4.1 客户信息管理</w:t>
      </w:r>
      <w:bookmarkEnd w:id="71"/>
    </w:p>
    <w:p w14:paraId="5297E118">
      <w:pPr>
        <w:pStyle w:val="21"/>
        <w:numPr>
          <w:ilvl w:val="0"/>
          <w:numId w:val="29"/>
        </w:numPr>
        <w:rPr>
          <w:color w:val="auto"/>
        </w:rPr>
      </w:pPr>
      <w:r>
        <w:rPr>
          <w:color w:val="auto"/>
        </w:rPr>
        <w:t>客户分类：将客户分为核心客户（如大型汽车主机厂、风电企业）、重要客户、一般客户，核心客户信息列为核心秘密管理；</w:t>
      </w:r>
    </w:p>
    <w:p w14:paraId="245E03A6">
      <w:pPr>
        <w:pStyle w:val="21"/>
        <w:numPr>
          <w:ilvl w:val="0"/>
          <w:numId w:val="29"/>
        </w:numPr>
        <w:rPr>
          <w:color w:val="auto"/>
        </w:rPr>
      </w:pPr>
      <w:r>
        <w:rPr>
          <w:color w:val="auto"/>
        </w:rPr>
        <w:t>信息存储：客户信息（名称、联系方式、定制需求、采购价格）加密存储于客户关系管理系统（CRM 系统），设置访问权限，仅允许销售主管、客户经理查看；</w:t>
      </w:r>
    </w:p>
    <w:p w14:paraId="341EE072">
      <w:pPr>
        <w:pStyle w:val="21"/>
        <w:numPr>
          <w:ilvl w:val="0"/>
          <w:numId w:val="29"/>
        </w:numPr>
        <w:rPr>
          <w:color w:val="auto"/>
        </w:rPr>
      </w:pPr>
      <w:r>
        <w:rPr>
          <w:color w:val="auto"/>
        </w:rPr>
        <w:t>信息更新：客户信息更新需记录更新人、时间、内容，定期备份，防止信息丢失或泄露；</w:t>
      </w:r>
    </w:p>
    <w:p w14:paraId="7D7B7F9C">
      <w:pPr>
        <w:pStyle w:val="21"/>
        <w:numPr>
          <w:ilvl w:val="0"/>
          <w:numId w:val="29"/>
        </w:numPr>
        <w:rPr>
          <w:color w:val="auto"/>
        </w:rPr>
      </w:pPr>
      <w:r>
        <w:rPr>
          <w:color w:val="auto"/>
        </w:rPr>
        <w:t>信息使用：禁止销售人员私自拷贝客户信息，禁止向竞争对手泄露客户需求。</w:t>
      </w:r>
    </w:p>
    <w:p w14:paraId="1304AD88">
      <w:pPr>
        <w:pStyle w:val="5"/>
        <w:ind w:left="0" w:leftChars="0"/>
        <w:outlineLvl w:val="2"/>
        <w:rPr>
          <w:color w:val="auto"/>
        </w:rPr>
      </w:pPr>
      <w:bookmarkStart w:id="72" w:name="_Toc11591"/>
      <w:r>
        <w:rPr>
          <w:color w:val="auto"/>
        </w:rPr>
        <w:t>6.4.2 销售合同管理</w:t>
      </w:r>
      <w:bookmarkEnd w:id="72"/>
    </w:p>
    <w:p w14:paraId="58ADCE32">
      <w:pPr>
        <w:pStyle w:val="21"/>
        <w:numPr>
          <w:ilvl w:val="0"/>
          <w:numId w:val="30"/>
        </w:numPr>
        <w:rPr>
          <w:color w:val="auto"/>
        </w:rPr>
      </w:pPr>
      <w:r>
        <w:rPr>
          <w:color w:val="auto"/>
        </w:rPr>
        <w:t>合同签订：销售合同中涉及商业秘密的条款（如定制轴承技术参数、价格折扣）需标注密级，合同文本加密存储；</w:t>
      </w:r>
    </w:p>
    <w:p w14:paraId="42045BB6">
      <w:pPr>
        <w:pStyle w:val="21"/>
        <w:numPr>
          <w:ilvl w:val="0"/>
          <w:numId w:val="30"/>
        </w:numPr>
        <w:rPr>
          <w:color w:val="auto"/>
        </w:rPr>
      </w:pPr>
      <w:r>
        <w:rPr>
          <w:color w:val="auto"/>
        </w:rPr>
        <w:t>合同履行：合同履行过程中的沟通记录（如客户技术变更需求）加密存储，禁止向第三方泄露；</w:t>
      </w:r>
    </w:p>
    <w:p w14:paraId="62CA37DC">
      <w:pPr>
        <w:pStyle w:val="21"/>
        <w:numPr>
          <w:ilvl w:val="0"/>
          <w:numId w:val="30"/>
        </w:numPr>
        <w:rPr>
          <w:color w:val="auto"/>
        </w:rPr>
      </w:pPr>
      <w:r>
        <w:rPr>
          <w:color w:val="auto"/>
        </w:rPr>
        <w:t>合同归档：合同履行完毕后，整理合同文本、沟通记录、验收报告，存入保密档案室，电子版本加密存储。</w:t>
      </w:r>
    </w:p>
    <w:p w14:paraId="43B9568D">
      <w:pPr>
        <w:pStyle w:val="5"/>
        <w:ind w:left="0" w:leftChars="0"/>
        <w:outlineLvl w:val="2"/>
        <w:rPr>
          <w:color w:val="auto"/>
        </w:rPr>
      </w:pPr>
      <w:bookmarkStart w:id="73" w:name="_Toc9438"/>
      <w:r>
        <w:rPr>
          <w:color w:val="auto"/>
        </w:rPr>
        <w:t>6.4.3 售后服务管理</w:t>
      </w:r>
      <w:bookmarkEnd w:id="73"/>
    </w:p>
    <w:p w14:paraId="14D3E1A3">
      <w:pPr>
        <w:pStyle w:val="21"/>
        <w:numPr>
          <w:ilvl w:val="0"/>
          <w:numId w:val="31"/>
        </w:numPr>
        <w:rPr>
          <w:color w:val="auto"/>
        </w:rPr>
      </w:pPr>
      <w:r>
        <w:rPr>
          <w:color w:val="auto"/>
        </w:rPr>
        <w:t>售后信息：客户反馈的产品问题（如轴承失效原因）、维修记录加密存储，禁止向竞争对手泄露；</w:t>
      </w:r>
    </w:p>
    <w:p w14:paraId="35B29CD1">
      <w:pPr>
        <w:pStyle w:val="21"/>
        <w:numPr>
          <w:ilvl w:val="0"/>
          <w:numId w:val="31"/>
        </w:numPr>
        <w:rPr>
          <w:color w:val="auto"/>
        </w:rPr>
      </w:pPr>
      <w:r>
        <w:rPr>
          <w:color w:val="auto"/>
        </w:rPr>
        <w:t>维修服务：维修人员需签订《售后保密承诺书》，维修过程中禁止拍摄产品内部结构或记录技术参数，维修后的废旧产品需回收销毁；</w:t>
      </w:r>
    </w:p>
    <w:p w14:paraId="57D5558E">
      <w:pPr>
        <w:pStyle w:val="21"/>
        <w:numPr>
          <w:ilvl w:val="0"/>
          <w:numId w:val="31"/>
        </w:numPr>
        <w:rPr>
          <w:color w:val="auto"/>
        </w:rPr>
      </w:pPr>
      <w:r>
        <w:rPr>
          <w:color w:val="auto"/>
        </w:rPr>
        <w:t>客户回访：回访记录（如客户未来采购计划）加密存储，回访人员禁止私自向第三方泄露客户信息。</w:t>
      </w:r>
    </w:p>
    <w:p w14:paraId="598A4036">
      <w:pPr>
        <w:pStyle w:val="4"/>
        <w:ind w:left="0" w:leftChars="0"/>
        <w:outlineLvl w:val="1"/>
        <w:rPr>
          <w:color w:val="auto"/>
        </w:rPr>
      </w:pPr>
      <w:bookmarkStart w:id="74" w:name="_Toc2452"/>
      <w:r>
        <w:rPr>
          <w:color w:val="auto"/>
        </w:rPr>
        <w:t>6.5 其他关键过程管理</w:t>
      </w:r>
      <w:bookmarkEnd w:id="74"/>
    </w:p>
    <w:p w14:paraId="3FB12646">
      <w:pPr>
        <w:pStyle w:val="5"/>
        <w:ind w:left="0" w:leftChars="0"/>
        <w:outlineLvl w:val="2"/>
        <w:rPr>
          <w:color w:val="auto"/>
        </w:rPr>
      </w:pPr>
      <w:bookmarkStart w:id="75" w:name="_Toc26166"/>
      <w:r>
        <w:rPr>
          <w:color w:val="auto"/>
        </w:rPr>
        <w:t>6.5.1 财务管理</w:t>
      </w:r>
      <w:bookmarkEnd w:id="75"/>
    </w:p>
    <w:p w14:paraId="3FA4BA26">
      <w:pPr>
        <w:pStyle w:val="21"/>
        <w:numPr>
          <w:ilvl w:val="0"/>
          <w:numId w:val="32"/>
        </w:numPr>
        <w:rPr>
          <w:color w:val="auto"/>
        </w:rPr>
      </w:pPr>
      <w:r>
        <w:rPr>
          <w:color w:val="auto"/>
        </w:rPr>
        <w:t>财务信息：未公开的财务报表、成本核算数据、投融资计划列为重要秘密或核心秘密，加密存储于财务专用服务器，仅允许财务总监、高管查看；</w:t>
      </w:r>
    </w:p>
    <w:p w14:paraId="061AB831">
      <w:pPr>
        <w:pStyle w:val="21"/>
        <w:numPr>
          <w:ilvl w:val="0"/>
          <w:numId w:val="32"/>
        </w:numPr>
        <w:rPr>
          <w:color w:val="auto"/>
        </w:rPr>
      </w:pPr>
      <w:r>
        <w:rPr>
          <w:color w:val="auto"/>
        </w:rPr>
        <w:t>财务流程：财务审批（如研发费用审批）需履行保密程序，审批文件加密传递，禁止纸质打印；</w:t>
      </w:r>
    </w:p>
    <w:p w14:paraId="6936A4C6">
      <w:pPr>
        <w:pStyle w:val="21"/>
        <w:numPr>
          <w:ilvl w:val="0"/>
          <w:numId w:val="32"/>
        </w:numPr>
        <w:rPr>
          <w:color w:val="auto"/>
        </w:rPr>
      </w:pPr>
      <w:r>
        <w:rPr>
          <w:color w:val="auto"/>
        </w:rPr>
        <w:t>审计管理：内部审计或外部审计过程中，涉及商业秘密的财务数据需向审计机构明确保密要求，签订《审计保密协议》，审计报告加密存储。</w:t>
      </w:r>
    </w:p>
    <w:p w14:paraId="07256553">
      <w:pPr>
        <w:pStyle w:val="5"/>
        <w:ind w:left="0" w:leftChars="0"/>
        <w:outlineLvl w:val="2"/>
        <w:rPr>
          <w:color w:val="auto"/>
        </w:rPr>
      </w:pPr>
      <w:bookmarkStart w:id="76" w:name="_Toc10357"/>
      <w:r>
        <w:rPr>
          <w:color w:val="auto"/>
        </w:rPr>
        <w:t>6.5.2 人力资源管理</w:t>
      </w:r>
      <w:bookmarkEnd w:id="76"/>
    </w:p>
    <w:p w14:paraId="22FF757C">
      <w:pPr>
        <w:pStyle w:val="21"/>
        <w:numPr>
          <w:ilvl w:val="0"/>
          <w:numId w:val="33"/>
        </w:numPr>
        <w:rPr>
          <w:color w:val="auto"/>
        </w:rPr>
      </w:pPr>
      <w:r>
        <w:rPr>
          <w:color w:val="auto"/>
        </w:rPr>
        <w:t>薪酬信息：员工薪酬（尤其是高管、核心技术人员薪酬）列为重要秘密，仅允许人力资源部负责人、财务总监查看，禁止员工间相互打听；</w:t>
      </w:r>
    </w:p>
    <w:p w14:paraId="443F4F5B">
      <w:pPr>
        <w:pStyle w:val="21"/>
        <w:numPr>
          <w:ilvl w:val="0"/>
          <w:numId w:val="33"/>
        </w:numPr>
        <w:rPr>
          <w:color w:val="auto"/>
        </w:rPr>
      </w:pPr>
      <w:r>
        <w:rPr>
          <w:color w:val="auto"/>
        </w:rPr>
        <w:t>绩效信息：员工绩效考核结果加密存储，禁止向无关人员泄露；</w:t>
      </w:r>
    </w:p>
    <w:p w14:paraId="3C236FB1">
      <w:pPr>
        <w:pStyle w:val="21"/>
        <w:numPr>
          <w:ilvl w:val="0"/>
          <w:numId w:val="33"/>
        </w:numPr>
        <w:rPr>
          <w:color w:val="auto"/>
        </w:rPr>
      </w:pPr>
      <w:r>
        <w:rPr>
          <w:color w:val="auto"/>
        </w:rPr>
        <w:t>招聘信息：招聘涉密岗位人员时，招聘简章中不提及商业秘密相关内容，面试过程中不泄露企业商业秘密。</w:t>
      </w:r>
    </w:p>
    <w:p w14:paraId="5163490D">
      <w:pPr>
        <w:pStyle w:val="5"/>
        <w:ind w:left="0" w:leftChars="0"/>
        <w:outlineLvl w:val="2"/>
        <w:rPr>
          <w:color w:val="auto"/>
        </w:rPr>
      </w:pPr>
      <w:bookmarkStart w:id="77" w:name="_Toc12277"/>
      <w:r>
        <w:rPr>
          <w:color w:val="auto"/>
        </w:rPr>
        <w:t>6.5.3 会议管理</w:t>
      </w:r>
      <w:bookmarkEnd w:id="77"/>
    </w:p>
    <w:p w14:paraId="204565A6">
      <w:pPr>
        <w:pStyle w:val="21"/>
        <w:numPr>
          <w:ilvl w:val="0"/>
          <w:numId w:val="34"/>
        </w:numPr>
        <w:rPr>
          <w:color w:val="auto"/>
        </w:rPr>
      </w:pPr>
      <w:r>
        <w:rPr>
          <w:color w:val="auto"/>
        </w:rPr>
        <w:t>涉密会议：涉及商业秘密的会议（如研发项目评审会、销售策略会）需在保密会议室召开，会议室需安装手机信号屏蔽装置，禁止录音、录像；</w:t>
      </w:r>
    </w:p>
    <w:p w14:paraId="7E982153">
      <w:pPr>
        <w:pStyle w:val="21"/>
        <w:numPr>
          <w:ilvl w:val="0"/>
          <w:numId w:val="34"/>
        </w:numPr>
        <w:rPr>
          <w:color w:val="auto"/>
        </w:rPr>
      </w:pPr>
      <w:r>
        <w:rPr>
          <w:color w:val="auto"/>
        </w:rPr>
        <w:t>会议准备：会议资料（如 PPT、报告）需标注密级，提前发放给参会人员，参会人员需签订《会议保密承诺书》；</w:t>
      </w:r>
    </w:p>
    <w:p w14:paraId="0B02D418">
      <w:pPr>
        <w:pStyle w:val="21"/>
        <w:numPr>
          <w:ilvl w:val="0"/>
          <w:numId w:val="34"/>
        </w:numPr>
        <w:rPr>
          <w:color w:val="auto"/>
        </w:rPr>
      </w:pPr>
      <w:r>
        <w:rPr>
          <w:color w:val="auto"/>
        </w:rPr>
        <w:t>会议过程：会议期间，禁止无关人员进入，会议讨论的商业秘密内容禁止记录在私人笔记本或电子设备；</w:t>
      </w:r>
    </w:p>
    <w:p w14:paraId="66DA36D9">
      <w:pPr>
        <w:pStyle w:val="21"/>
        <w:numPr>
          <w:ilvl w:val="0"/>
          <w:numId w:val="34"/>
        </w:numPr>
        <w:rPr>
          <w:color w:val="auto"/>
        </w:rPr>
      </w:pPr>
      <w:r>
        <w:rPr>
          <w:color w:val="auto"/>
        </w:rPr>
        <w:t>会议结束：回收所有会议资料（包括草稿），及时销毁多余资料，会议纪要标注密级，加密存储并按权限分发。</w:t>
      </w:r>
    </w:p>
    <w:p w14:paraId="455F20D3">
      <w:pPr>
        <w:pStyle w:val="3"/>
        <w:ind w:left="0" w:leftChars="0"/>
        <w:outlineLvl w:val="0"/>
        <w:rPr>
          <w:color w:val="auto"/>
        </w:rPr>
      </w:pPr>
      <w:bookmarkStart w:id="78" w:name="_Toc27308"/>
      <w:r>
        <w:rPr>
          <w:color w:val="auto"/>
        </w:rPr>
        <w:t>七、商业秘密信息化与安全防护体系</w:t>
      </w:r>
      <w:bookmarkEnd w:id="78"/>
    </w:p>
    <w:p w14:paraId="56A45823">
      <w:pPr>
        <w:pStyle w:val="4"/>
        <w:ind w:left="0" w:leftChars="0"/>
        <w:outlineLvl w:val="1"/>
        <w:rPr>
          <w:color w:val="auto"/>
        </w:rPr>
      </w:pPr>
      <w:bookmarkStart w:id="79" w:name="_Toc21270"/>
      <w:r>
        <w:rPr>
          <w:color w:val="auto"/>
        </w:rPr>
        <w:t>7.1 信息化安全规划</w:t>
      </w:r>
      <w:bookmarkEnd w:id="79"/>
    </w:p>
    <w:p w14:paraId="50B04B3B">
      <w:pPr>
        <w:pStyle w:val="5"/>
        <w:ind w:left="0" w:leftChars="0"/>
        <w:outlineLvl w:val="2"/>
        <w:rPr>
          <w:color w:val="auto"/>
        </w:rPr>
      </w:pPr>
      <w:bookmarkStart w:id="80" w:name="_Toc27543"/>
      <w:r>
        <w:rPr>
          <w:color w:val="auto"/>
        </w:rPr>
        <w:t>7.1.1 安全评估</w:t>
      </w:r>
      <w:bookmarkEnd w:id="80"/>
    </w:p>
    <w:p w14:paraId="19592D24">
      <w:pPr>
        <w:pStyle w:val="21"/>
        <w:rPr>
          <w:color w:val="auto"/>
        </w:rPr>
      </w:pPr>
      <w:r>
        <w:rPr>
          <w:color w:val="auto"/>
        </w:rPr>
        <w:t>轴承企业应每年度开展商业秘密信息化安全评估，可委托第三方机构进行，评估内容包括：</w:t>
      </w:r>
    </w:p>
    <w:p w14:paraId="0FD80DCE">
      <w:pPr>
        <w:pStyle w:val="21"/>
        <w:numPr>
          <w:ilvl w:val="0"/>
          <w:numId w:val="0"/>
        </w:numPr>
        <w:ind w:left="288" w:leftChars="0" w:hanging="288" w:firstLineChars="0"/>
        <w:rPr>
          <w:color w:val="auto"/>
        </w:rPr>
      </w:pPr>
      <w:r>
        <w:rPr>
          <w:color w:val="auto"/>
        </w:rPr>
        <w:t>网络安全：内部局域网与互联网隔离情况、防火墙设置、病毒防护能力；</w:t>
      </w:r>
    </w:p>
    <w:p w14:paraId="5CBD57FC">
      <w:pPr>
        <w:pStyle w:val="21"/>
        <w:numPr>
          <w:ilvl w:val="0"/>
          <w:numId w:val="0"/>
        </w:numPr>
        <w:ind w:left="288" w:leftChars="0" w:hanging="288" w:firstLineChars="0"/>
        <w:rPr>
          <w:color w:val="auto"/>
        </w:rPr>
      </w:pPr>
      <w:r>
        <w:rPr>
          <w:color w:val="auto"/>
        </w:rPr>
        <w:t>数据安全：涉密数据加密存储、传输加密、备份情况；</w:t>
      </w:r>
    </w:p>
    <w:p w14:paraId="69E3DA57">
      <w:pPr>
        <w:pStyle w:val="21"/>
        <w:numPr>
          <w:ilvl w:val="0"/>
          <w:numId w:val="0"/>
        </w:numPr>
        <w:ind w:left="288" w:leftChars="0" w:hanging="288" w:firstLineChars="0"/>
        <w:rPr>
          <w:color w:val="auto"/>
        </w:rPr>
      </w:pPr>
      <w:r>
        <w:rPr>
          <w:color w:val="auto"/>
        </w:rPr>
        <w:t>设备安全：涉密计算机、服务器、移动设备的安全防护措施；</w:t>
      </w:r>
    </w:p>
    <w:p w14:paraId="678DE44A">
      <w:pPr>
        <w:pStyle w:val="21"/>
        <w:numPr>
          <w:ilvl w:val="0"/>
          <w:numId w:val="0"/>
        </w:numPr>
        <w:ind w:left="288" w:leftChars="0" w:hanging="288" w:firstLineChars="0"/>
        <w:rPr>
          <w:color w:val="auto"/>
        </w:rPr>
      </w:pPr>
      <w:r>
        <w:rPr>
          <w:color w:val="auto"/>
        </w:rPr>
        <w:t>人员安全：员工信息化操作规范执行情况、账号权限管理；</w:t>
      </w:r>
    </w:p>
    <w:p w14:paraId="2988C74F">
      <w:pPr>
        <w:pStyle w:val="21"/>
        <w:numPr>
          <w:ilvl w:val="0"/>
          <w:numId w:val="0"/>
        </w:numPr>
        <w:ind w:left="288" w:leftChars="0" w:hanging="288" w:firstLineChars="0"/>
        <w:rPr>
          <w:color w:val="auto"/>
        </w:rPr>
      </w:pPr>
      <w:r>
        <w:rPr>
          <w:color w:val="auto"/>
        </w:rPr>
        <w:t>形成《信息化安全评估报告》，提出整改建议并落实。</w:t>
      </w:r>
    </w:p>
    <w:p w14:paraId="02BFBCB6">
      <w:pPr>
        <w:pStyle w:val="5"/>
        <w:ind w:left="0" w:leftChars="0"/>
        <w:outlineLvl w:val="2"/>
        <w:rPr>
          <w:color w:val="auto"/>
        </w:rPr>
      </w:pPr>
      <w:bookmarkStart w:id="81" w:name="_Toc6789"/>
      <w:r>
        <w:rPr>
          <w:color w:val="auto"/>
        </w:rPr>
        <w:t>7.1.2 安全方案设计</w:t>
      </w:r>
      <w:bookmarkEnd w:id="81"/>
    </w:p>
    <w:p w14:paraId="2FCEB2F1">
      <w:pPr>
        <w:pStyle w:val="21"/>
        <w:rPr>
          <w:color w:val="auto"/>
        </w:rPr>
      </w:pPr>
      <w:r>
        <w:rPr>
          <w:color w:val="auto"/>
        </w:rPr>
        <w:t>根据评估结果，设计信息化安全方案，涵盖以下内容：</w:t>
      </w:r>
    </w:p>
    <w:p w14:paraId="008640A1">
      <w:pPr>
        <w:pStyle w:val="21"/>
        <w:numPr>
          <w:ilvl w:val="0"/>
          <w:numId w:val="0"/>
        </w:numPr>
        <w:ind w:left="288" w:leftChars="0" w:hanging="288" w:firstLineChars="0"/>
        <w:rPr>
          <w:color w:val="auto"/>
        </w:rPr>
      </w:pPr>
      <w:r>
        <w:rPr>
          <w:color w:val="auto"/>
        </w:rPr>
        <w:t>网络架构：构建 “涉密网 + 非涉密网” 双网络架构，涉密网与互联网物理隔离，非涉密网安装防火墙、入侵检测系统；</w:t>
      </w:r>
    </w:p>
    <w:p w14:paraId="69DE8FF5">
      <w:pPr>
        <w:pStyle w:val="21"/>
        <w:numPr>
          <w:ilvl w:val="0"/>
          <w:numId w:val="0"/>
        </w:numPr>
        <w:ind w:left="288" w:leftChars="0" w:hanging="288" w:firstLineChars="0"/>
        <w:rPr>
          <w:color w:val="auto"/>
        </w:rPr>
      </w:pPr>
      <w:r>
        <w:rPr>
          <w:color w:val="auto"/>
        </w:rPr>
        <w:t>数据防护：核心涉密数据采用非对称加密技术（如 RSA 加密），重要涉密数据采用对称加密技术（如 AES 加密），数据备份采用 “本地备份 + 异地备份” 双备份；</w:t>
      </w:r>
    </w:p>
    <w:p w14:paraId="529AA120">
      <w:pPr>
        <w:pStyle w:val="21"/>
        <w:numPr>
          <w:ilvl w:val="0"/>
          <w:numId w:val="0"/>
        </w:numPr>
        <w:ind w:left="288" w:leftChars="0" w:hanging="288" w:firstLineChars="0"/>
        <w:rPr>
          <w:color w:val="auto"/>
        </w:rPr>
      </w:pPr>
      <w:r>
        <w:rPr>
          <w:color w:val="auto"/>
        </w:rPr>
        <w:t>设备防护：涉密计算机安装硬盘加密软件、USB 端口管控软件（禁止使用私人 U 盘），服务器安装访问控制软件、日志审计软件；</w:t>
      </w:r>
    </w:p>
    <w:p w14:paraId="288ED5D8">
      <w:pPr>
        <w:pStyle w:val="21"/>
        <w:numPr>
          <w:ilvl w:val="0"/>
          <w:numId w:val="0"/>
        </w:numPr>
        <w:ind w:left="288" w:leftChars="0" w:hanging="288" w:firstLineChars="0"/>
        <w:rPr>
          <w:color w:val="auto"/>
        </w:rPr>
      </w:pPr>
      <w:r>
        <w:rPr>
          <w:color w:val="auto"/>
        </w:rPr>
        <w:t>身份认证：采用 “账号 + 密码 + 动态口令” 或生物识别（指纹、人脸识别）的多因素认证方式，确保身份唯一性。</w:t>
      </w:r>
    </w:p>
    <w:p w14:paraId="0E913674">
      <w:pPr>
        <w:pStyle w:val="4"/>
        <w:ind w:left="0" w:leftChars="0"/>
        <w:outlineLvl w:val="1"/>
        <w:rPr>
          <w:color w:val="auto"/>
        </w:rPr>
      </w:pPr>
      <w:bookmarkStart w:id="82" w:name="_Toc7001"/>
      <w:r>
        <w:rPr>
          <w:color w:val="auto"/>
        </w:rPr>
        <w:t>7.2 信息化安全运维管理</w:t>
      </w:r>
      <w:bookmarkEnd w:id="82"/>
    </w:p>
    <w:p w14:paraId="56E6C2DE">
      <w:pPr>
        <w:pStyle w:val="5"/>
        <w:ind w:left="0" w:leftChars="0"/>
        <w:outlineLvl w:val="2"/>
        <w:rPr>
          <w:color w:val="auto"/>
        </w:rPr>
      </w:pPr>
      <w:bookmarkStart w:id="83" w:name="_Toc19255"/>
      <w:r>
        <w:rPr>
          <w:color w:val="auto"/>
        </w:rPr>
        <w:t>7.2.1 网络安全管理</w:t>
      </w:r>
      <w:bookmarkEnd w:id="83"/>
    </w:p>
    <w:p w14:paraId="385036D7">
      <w:pPr>
        <w:pStyle w:val="21"/>
        <w:numPr>
          <w:ilvl w:val="0"/>
          <w:numId w:val="35"/>
        </w:numPr>
        <w:rPr>
          <w:color w:val="auto"/>
        </w:rPr>
      </w:pPr>
      <w:r>
        <w:rPr>
          <w:color w:val="auto"/>
        </w:rPr>
        <w:t>网络隔离：涉密网与非涉密网物理隔离，禁止通过网线、无线设备等方式连接；</w:t>
      </w:r>
    </w:p>
    <w:p w14:paraId="3B9E21B3">
      <w:pPr>
        <w:pStyle w:val="21"/>
        <w:numPr>
          <w:ilvl w:val="0"/>
          <w:numId w:val="35"/>
        </w:numPr>
        <w:rPr>
          <w:color w:val="auto"/>
        </w:rPr>
      </w:pPr>
      <w:r>
        <w:rPr>
          <w:color w:val="auto"/>
        </w:rPr>
        <w:t>防火墙管理：定期更新防火墙规则，禁止未经授权的外部 IP 访问涉密网；</w:t>
      </w:r>
    </w:p>
    <w:p w14:paraId="4DDD0BB9">
      <w:pPr>
        <w:pStyle w:val="21"/>
        <w:numPr>
          <w:ilvl w:val="0"/>
          <w:numId w:val="35"/>
        </w:numPr>
        <w:rPr>
          <w:color w:val="auto"/>
        </w:rPr>
      </w:pPr>
      <w:r>
        <w:rPr>
          <w:color w:val="auto"/>
        </w:rPr>
        <w:t>入侵检测：在涉密网入口部署入侵检测系统，实时监控网络异常行为（如多次尝试登录、大量数据传输），发现入侵及时报警并阻断；</w:t>
      </w:r>
    </w:p>
    <w:p w14:paraId="65FF4B05">
      <w:pPr>
        <w:pStyle w:val="21"/>
        <w:numPr>
          <w:ilvl w:val="0"/>
          <w:numId w:val="35"/>
        </w:numPr>
        <w:rPr>
          <w:color w:val="auto"/>
        </w:rPr>
      </w:pPr>
      <w:r>
        <w:rPr>
          <w:color w:val="auto"/>
        </w:rPr>
        <w:t>病毒防护：所有涉密计算机、服务器安装正版防病毒软件，每周更新病毒库，每月进行一次全盘病毒扫描。</w:t>
      </w:r>
    </w:p>
    <w:p w14:paraId="3D430E6E">
      <w:pPr>
        <w:pStyle w:val="5"/>
        <w:ind w:left="0" w:leftChars="0"/>
        <w:outlineLvl w:val="2"/>
        <w:rPr>
          <w:color w:val="auto"/>
        </w:rPr>
      </w:pPr>
      <w:bookmarkStart w:id="84" w:name="_Toc21250"/>
      <w:r>
        <w:rPr>
          <w:color w:val="auto"/>
        </w:rPr>
        <w:t>7.2.2 数据安全管理</w:t>
      </w:r>
      <w:bookmarkEnd w:id="84"/>
    </w:p>
    <w:p w14:paraId="0896D9E0">
      <w:pPr>
        <w:pStyle w:val="21"/>
        <w:numPr>
          <w:ilvl w:val="0"/>
          <w:numId w:val="36"/>
        </w:numPr>
        <w:rPr>
          <w:color w:val="auto"/>
        </w:rPr>
      </w:pPr>
      <w:r>
        <w:rPr>
          <w:color w:val="auto"/>
        </w:rPr>
        <w:t>数据存储：核心涉密数据存储于离线服务器，重要涉密数据存储于加密局域网服务器，数据存储介质需定期检测（如硬盘健康状态）；</w:t>
      </w:r>
    </w:p>
    <w:p w14:paraId="375B4EE9">
      <w:pPr>
        <w:pStyle w:val="21"/>
        <w:numPr>
          <w:ilvl w:val="0"/>
          <w:numId w:val="36"/>
        </w:numPr>
        <w:rPr>
          <w:color w:val="auto"/>
        </w:rPr>
      </w:pPr>
      <w:r>
        <w:rPr>
          <w:color w:val="auto"/>
        </w:rPr>
        <w:t>数据传输：涉密数据在内部传输时，使用企业专用加密通道（如 VPN），对外传输时（如向合作方传递设计方案），使用加密邮件或加密 U 盘，禁止通过微信、QQ 等公共软件传输；</w:t>
      </w:r>
    </w:p>
    <w:p w14:paraId="0B0D1425">
      <w:pPr>
        <w:pStyle w:val="21"/>
        <w:numPr>
          <w:ilvl w:val="0"/>
          <w:numId w:val="36"/>
        </w:numPr>
        <w:rPr>
          <w:color w:val="auto"/>
        </w:rPr>
      </w:pPr>
      <w:r>
        <w:rPr>
          <w:color w:val="auto"/>
        </w:rPr>
        <w:t>数据访问：建立数据访问日志，记录访问人、时间、内容、操作（如查看、修改、复制），每周审计日志，发现异常访问（如非授权人员访问核心数据）及时调查；</w:t>
      </w:r>
    </w:p>
    <w:p w14:paraId="6C175A65">
      <w:pPr>
        <w:pStyle w:val="21"/>
        <w:numPr>
          <w:ilvl w:val="0"/>
          <w:numId w:val="36"/>
        </w:numPr>
        <w:rPr>
          <w:color w:val="auto"/>
        </w:rPr>
      </w:pPr>
      <w:r>
        <w:rPr>
          <w:color w:val="auto"/>
        </w:rPr>
        <w:t>数据备份：核心涉密数据每日备份，重要涉密数据每周备份，备份介质加密存储于异地保密仓库，定期测试备份数据的可恢复性。</w:t>
      </w:r>
    </w:p>
    <w:p w14:paraId="1D7E932F">
      <w:pPr>
        <w:pStyle w:val="5"/>
        <w:ind w:left="0" w:leftChars="0"/>
        <w:outlineLvl w:val="2"/>
        <w:rPr>
          <w:color w:val="auto"/>
        </w:rPr>
      </w:pPr>
      <w:bookmarkStart w:id="85" w:name="_Toc10783"/>
      <w:r>
        <w:rPr>
          <w:color w:val="auto"/>
        </w:rPr>
        <w:t>7.2.3 设备安全管理</w:t>
      </w:r>
      <w:bookmarkEnd w:id="85"/>
    </w:p>
    <w:p w14:paraId="73F96C89">
      <w:pPr>
        <w:pStyle w:val="21"/>
        <w:numPr>
          <w:ilvl w:val="0"/>
          <w:numId w:val="37"/>
        </w:numPr>
        <w:ind w:left="288" w:leftChars="0" w:hanging="288" w:firstLineChars="0"/>
        <w:outlineLvl w:val="3"/>
        <w:rPr>
          <w:color w:val="auto"/>
        </w:rPr>
      </w:pPr>
      <w:r>
        <w:rPr>
          <w:color w:val="auto"/>
        </w:rPr>
        <w:t>涉密计算机：</w:t>
      </w:r>
    </w:p>
    <w:p w14:paraId="498045B9">
      <w:pPr>
        <w:pStyle w:val="21"/>
        <w:numPr>
          <w:ilvl w:val="1"/>
          <w:numId w:val="0"/>
        </w:numPr>
        <w:ind w:left="720" w:leftChars="0" w:hanging="288" w:firstLineChars="0"/>
        <w:rPr>
          <w:color w:val="auto"/>
        </w:rPr>
      </w:pPr>
      <w:r>
        <w:rPr>
          <w:color w:val="auto"/>
        </w:rPr>
        <w:t>禁止安装盗版软件、来历不明的软件；</w:t>
      </w:r>
    </w:p>
    <w:p w14:paraId="0416372F">
      <w:pPr>
        <w:pStyle w:val="21"/>
        <w:numPr>
          <w:ilvl w:val="1"/>
          <w:numId w:val="0"/>
        </w:numPr>
        <w:ind w:left="720" w:leftChars="0" w:hanging="288" w:firstLineChars="0"/>
        <w:rPr>
          <w:color w:val="auto"/>
        </w:rPr>
      </w:pPr>
      <w:r>
        <w:rPr>
          <w:color w:val="auto"/>
        </w:rPr>
        <w:t>禁止连接互联网、公共 WiFi，禁止使用蓝牙、红外等无线功能；</w:t>
      </w:r>
    </w:p>
    <w:p w14:paraId="4F45A823">
      <w:pPr>
        <w:pStyle w:val="21"/>
        <w:numPr>
          <w:ilvl w:val="1"/>
          <w:numId w:val="0"/>
        </w:numPr>
        <w:ind w:left="720" w:leftChars="0" w:hanging="288" w:firstLineChars="0"/>
        <w:rPr>
          <w:color w:val="auto"/>
        </w:rPr>
      </w:pPr>
      <w:r>
        <w:rPr>
          <w:color w:val="auto"/>
        </w:rPr>
        <w:t>定期清理计算机内的临时文件、缓存文件，防止涉密信息残留；</w:t>
      </w:r>
    </w:p>
    <w:p w14:paraId="228C90D7">
      <w:pPr>
        <w:pStyle w:val="21"/>
        <w:numPr>
          <w:ilvl w:val="1"/>
          <w:numId w:val="0"/>
        </w:numPr>
        <w:ind w:left="720" w:leftChars="0" w:hanging="288" w:firstLineChars="0"/>
        <w:rPr>
          <w:color w:val="auto"/>
        </w:rPr>
      </w:pPr>
      <w:r>
        <w:rPr>
          <w:color w:val="auto"/>
        </w:rPr>
        <w:t>计算机报废前，彻底删除涉密数据并物理销毁硬盘；</w:t>
      </w:r>
    </w:p>
    <w:p w14:paraId="4C989DA7">
      <w:pPr>
        <w:pStyle w:val="21"/>
        <w:numPr>
          <w:ilvl w:val="0"/>
          <w:numId w:val="0"/>
        </w:numPr>
        <w:ind w:leftChars="0"/>
        <w:outlineLvl w:val="3"/>
        <w:rPr>
          <w:color w:val="auto"/>
        </w:rPr>
      </w:pPr>
      <w:r>
        <w:rPr>
          <w:rFonts w:hint="eastAsia"/>
          <w:color w:val="auto"/>
          <w:lang w:val="en-US" w:eastAsia="zh-CN"/>
        </w:rPr>
        <w:t>2.</w:t>
      </w:r>
      <w:r>
        <w:rPr>
          <w:color w:val="auto"/>
        </w:rPr>
        <w:t>移动设备：</w:t>
      </w:r>
    </w:p>
    <w:p w14:paraId="43FA7B40">
      <w:pPr>
        <w:pStyle w:val="21"/>
        <w:numPr>
          <w:ilvl w:val="1"/>
          <w:numId w:val="0"/>
        </w:numPr>
        <w:ind w:left="720" w:leftChars="0" w:hanging="288" w:firstLineChars="0"/>
        <w:rPr>
          <w:color w:val="auto"/>
        </w:rPr>
      </w:pPr>
      <w:r>
        <w:rPr>
          <w:color w:val="auto"/>
        </w:rPr>
        <w:t>企业统一配备涉密 U 盘、移动硬盘，标注密级，专人管理，使用前需审批；</w:t>
      </w:r>
    </w:p>
    <w:p w14:paraId="4B844620">
      <w:pPr>
        <w:pStyle w:val="21"/>
        <w:numPr>
          <w:ilvl w:val="1"/>
          <w:numId w:val="0"/>
        </w:numPr>
        <w:ind w:left="720" w:leftChars="0" w:hanging="288" w:firstLineChars="0"/>
        <w:rPr>
          <w:color w:val="auto"/>
        </w:rPr>
      </w:pPr>
      <w:r>
        <w:rPr>
          <w:color w:val="auto"/>
        </w:rPr>
        <w:t>禁止使用私人移动设备存储或传输涉密数据；</w:t>
      </w:r>
    </w:p>
    <w:p w14:paraId="6B981DF0">
      <w:pPr>
        <w:pStyle w:val="21"/>
        <w:numPr>
          <w:ilvl w:val="1"/>
          <w:numId w:val="0"/>
        </w:numPr>
        <w:ind w:left="720" w:leftChars="0" w:hanging="288" w:firstLineChars="0"/>
        <w:rPr>
          <w:color w:val="auto"/>
        </w:rPr>
      </w:pPr>
      <w:r>
        <w:rPr>
          <w:color w:val="auto"/>
        </w:rPr>
        <w:t>涉密移动设备丢失时，立即上报保密管理部，启动数据远程销毁程序（如支持远程销毁功能）；</w:t>
      </w:r>
    </w:p>
    <w:p w14:paraId="69172EA3">
      <w:pPr>
        <w:pStyle w:val="21"/>
        <w:numPr>
          <w:ilvl w:val="0"/>
          <w:numId w:val="0"/>
        </w:numPr>
        <w:ind w:leftChars="0"/>
        <w:outlineLvl w:val="3"/>
        <w:rPr>
          <w:color w:val="auto"/>
        </w:rPr>
      </w:pPr>
      <w:r>
        <w:rPr>
          <w:rFonts w:hint="eastAsia"/>
          <w:color w:val="auto"/>
          <w:lang w:val="en-US" w:eastAsia="zh-CN"/>
        </w:rPr>
        <w:t>3.</w:t>
      </w:r>
      <w:r>
        <w:rPr>
          <w:color w:val="auto"/>
        </w:rPr>
        <w:t>服务器：</w:t>
      </w:r>
    </w:p>
    <w:p w14:paraId="290C3B6A">
      <w:pPr>
        <w:pStyle w:val="21"/>
        <w:numPr>
          <w:ilvl w:val="1"/>
          <w:numId w:val="0"/>
        </w:numPr>
        <w:ind w:left="720" w:leftChars="0" w:hanging="288" w:firstLineChars="0"/>
        <w:rPr>
          <w:color w:val="auto"/>
        </w:rPr>
      </w:pPr>
      <w:r>
        <w:rPr>
          <w:color w:val="auto"/>
        </w:rPr>
        <w:t>服务器机房设置为核心涉密区，安装门禁、监控、温湿度控制系统；</w:t>
      </w:r>
    </w:p>
    <w:p w14:paraId="39A01F99">
      <w:pPr>
        <w:pStyle w:val="21"/>
        <w:numPr>
          <w:ilvl w:val="1"/>
          <w:numId w:val="0"/>
        </w:numPr>
        <w:ind w:left="720" w:leftChars="0" w:hanging="288" w:firstLineChars="0"/>
        <w:rPr>
          <w:color w:val="auto"/>
        </w:rPr>
      </w:pPr>
      <w:r>
        <w:rPr>
          <w:color w:val="auto"/>
        </w:rPr>
        <w:t>服务器操作系统、数据库系统定期更新补丁，关闭不必要的服务端口；</w:t>
      </w:r>
    </w:p>
    <w:p w14:paraId="64106A18">
      <w:pPr>
        <w:pStyle w:val="21"/>
        <w:numPr>
          <w:ilvl w:val="1"/>
          <w:numId w:val="0"/>
        </w:numPr>
        <w:ind w:left="720" w:leftChars="0" w:hanging="288" w:firstLineChars="0"/>
        <w:rPr>
          <w:color w:val="auto"/>
        </w:rPr>
      </w:pPr>
      <w:r>
        <w:rPr>
          <w:color w:val="auto"/>
        </w:rPr>
        <w:t>定期备份服务器配置文件，防止服务器故障导致数据丢失。</w:t>
      </w:r>
    </w:p>
    <w:p w14:paraId="25BF91AB">
      <w:pPr>
        <w:pStyle w:val="4"/>
        <w:ind w:left="0" w:leftChars="0"/>
        <w:outlineLvl w:val="1"/>
        <w:rPr>
          <w:color w:val="auto"/>
        </w:rPr>
      </w:pPr>
      <w:bookmarkStart w:id="86" w:name="_Toc31546"/>
      <w:r>
        <w:rPr>
          <w:color w:val="auto"/>
        </w:rPr>
        <w:t>7.3 信息安全检测与应急响应</w:t>
      </w:r>
      <w:bookmarkEnd w:id="86"/>
    </w:p>
    <w:p w14:paraId="79F6B21B">
      <w:pPr>
        <w:pStyle w:val="5"/>
        <w:ind w:left="0" w:leftChars="0"/>
        <w:outlineLvl w:val="2"/>
        <w:rPr>
          <w:color w:val="auto"/>
        </w:rPr>
      </w:pPr>
      <w:bookmarkStart w:id="87" w:name="_Toc24261"/>
      <w:r>
        <w:rPr>
          <w:color w:val="auto"/>
        </w:rPr>
        <w:t>7.3.1 定期检测</w:t>
      </w:r>
      <w:bookmarkEnd w:id="87"/>
    </w:p>
    <w:p w14:paraId="5E6A6910">
      <w:pPr>
        <w:pStyle w:val="21"/>
        <w:numPr>
          <w:ilvl w:val="0"/>
          <w:numId w:val="38"/>
        </w:numPr>
        <w:rPr>
          <w:color w:val="auto"/>
        </w:rPr>
      </w:pPr>
      <w:r>
        <w:rPr>
          <w:color w:val="auto"/>
        </w:rPr>
        <w:t>日常检测：信息技术部每日检查网络、服务器、涉密计算机运行状态，查看日志是否有异常；</w:t>
      </w:r>
    </w:p>
    <w:p w14:paraId="30FCB6D3">
      <w:pPr>
        <w:pStyle w:val="21"/>
        <w:numPr>
          <w:ilvl w:val="0"/>
          <w:numId w:val="38"/>
        </w:numPr>
        <w:rPr>
          <w:color w:val="auto"/>
        </w:rPr>
      </w:pPr>
      <w:r>
        <w:rPr>
          <w:color w:val="auto"/>
        </w:rPr>
        <w:t>季度检测：每季度开展一次全面信息安全检测，包括漏洞扫描（使用专业漏洞扫描软件）、渗透测试（模拟黑客攻击）、数据加密有效性检测；</w:t>
      </w:r>
    </w:p>
    <w:p w14:paraId="23F89695">
      <w:pPr>
        <w:pStyle w:val="21"/>
        <w:numPr>
          <w:ilvl w:val="0"/>
          <w:numId w:val="38"/>
        </w:numPr>
        <w:rPr>
          <w:color w:val="auto"/>
        </w:rPr>
      </w:pPr>
      <w:r>
        <w:rPr>
          <w:color w:val="auto"/>
        </w:rPr>
        <w:t>年度检测：委托第三方机构开展年度信息安全检测，出具检测报告，针对问题制定整改方案。</w:t>
      </w:r>
    </w:p>
    <w:p w14:paraId="04B926EA">
      <w:pPr>
        <w:pStyle w:val="5"/>
        <w:ind w:left="0" w:leftChars="0"/>
        <w:outlineLvl w:val="2"/>
        <w:rPr>
          <w:color w:val="auto"/>
        </w:rPr>
      </w:pPr>
      <w:bookmarkStart w:id="88" w:name="_Toc24827"/>
      <w:r>
        <w:rPr>
          <w:color w:val="auto"/>
        </w:rPr>
        <w:t>7.3.2 应急预案</w:t>
      </w:r>
      <w:bookmarkEnd w:id="88"/>
    </w:p>
    <w:p w14:paraId="51E4BA1F">
      <w:pPr>
        <w:pStyle w:val="21"/>
        <w:rPr>
          <w:color w:val="auto"/>
        </w:rPr>
      </w:pPr>
      <w:r>
        <w:rPr>
          <w:color w:val="auto"/>
        </w:rPr>
        <w:t>制定《商业秘密信息化泄密应急预案》，明确应急组织、响应流程、处置措施：</w:t>
      </w:r>
    </w:p>
    <w:p w14:paraId="07E094BE">
      <w:pPr>
        <w:pStyle w:val="21"/>
        <w:numPr>
          <w:ilvl w:val="0"/>
          <w:numId w:val="0"/>
        </w:numPr>
        <w:ind w:left="288" w:leftChars="0" w:hanging="288" w:firstLineChars="0"/>
        <w:rPr>
          <w:color w:val="auto"/>
        </w:rPr>
      </w:pPr>
      <w:r>
        <w:rPr>
          <w:color w:val="auto"/>
        </w:rPr>
        <w:t>应急组织：由保密委员会主任担任总指挥，保密管理部、信息技术部、法务部为成员；</w:t>
      </w:r>
    </w:p>
    <w:p w14:paraId="023A5C64">
      <w:pPr>
        <w:pStyle w:val="21"/>
        <w:numPr>
          <w:ilvl w:val="0"/>
          <w:numId w:val="0"/>
        </w:numPr>
        <w:ind w:left="288" w:leftChars="0" w:hanging="288" w:firstLineChars="0"/>
        <w:rPr>
          <w:color w:val="auto"/>
        </w:rPr>
      </w:pPr>
      <w:r>
        <w:rPr>
          <w:color w:val="auto"/>
        </w:rPr>
        <w:t>响应流程：</w:t>
      </w:r>
    </w:p>
    <w:p w14:paraId="3E0FC8C2">
      <w:pPr>
        <w:pStyle w:val="21"/>
        <w:numPr>
          <w:ilvl w:val="1"/>
          <w:numId w:val="39"/>
        </w:numPr>
        <w:rPr>
          <w:color w:val="auto"/>
        </w:rPr>
      </w:pPr>
      <w:r>
        <w:rPr>
          <w:color w:val="auto"/>
        </w:rPr>
        <w:t>发现泄密：员工发现信息化泄密（如涉密数据被非法访问、服务器被入侵），立即上报保密管理部；</w:t>
      </w:r>
    </w:p>
    <w:p w14:paraId="3C3A9234">
      <w:pPr>
        <w:pStyle w:val="21"/>
        <w:numPr>
          <w:ilvl w:val="1"/>
          <w:numId w:val="39"/>
        </w:numPr>
        <w:rPr>
          <w:color w:val="auto"/>
        </w:rPr>
      </w:pPr>
      <w:r>
        <w:rPr>
          <w:color w:val="auto"/>
        </w:rPr>
        <w:t>初步处置：信息技术部立即切断涉密网络与外部连接，冻结涉事账号，备份相关日志；</w:t>
      </w:r>
    </w:p>
    <w:p w14:paraId="134E3B72">
      <w:pPr>
        <w:pStyle w:val="21"/>
        <w:numPr>
          <w:ilvl w:val="1"/>
          <w:numId w:val="39"/>
        </w:numPr>
        <w:rPr>
          <w:color w:val="auto"/>
        </w:rPr>
      </w:pPr>
      <w:r>
        <w:rPr>
          <w:color w:val="auto"/>
        </w:rPr>
        <w:t>调查评估：保密管理部联合信息技术部调查泄密原因、范围、损失，形成《泄密事件调查报告》；</w:t>
      </w:r>
    </w:p>
    <w:p w14:paraId="40004A03">
      <w:pPr>
        <w:pStyle w:val="21"/>
        <w:numPr>
          <w:ilvl w:val="1"/>
          <w:numId w:val="39"/>
        </w:numPr>
        <w:rPr>
          <w:color w:val="auto"/>
        </w:rPr>
      </w:pPr>
      <w:r>
        <w:rPr>
          <w:color w:val="auto"/>
        </w:rPr>
        <w:t>处置措施：根据调查结果，采取数据恢复、系统加固、追究责任等措施；</w:t>
      </w:r>
    </w:p>
    <w:p w14:paraId="3BCF06F6">
      <w:pPr>
        <w:pStyle w:val="21"/>
        <w:numPr>
          <w:ilvl w:val="1"/>
          <w:numId w:val="39"/>
        </w:numPr>
        <w:rPr>
          <w:color w:val="auto"/>
        </w:rPr>
      </w:pPr>
      <w:r>
        <w:rPr>
          <w:color w:val="auto"/>
        </w:rPr>
        <w:t>总结改进：事件处置后，分析漏洞，更新应急预案与安全措施；</w:t>
      </w:r>
    </w:p>
    <w:p w14:paraId="7F250321">
      <w:pPr>
        <w:pStyle w:val="21"/>
        <w:numPr>
          <w:ilvl w:val="0"/>
          <w:numId w:val="0"/>
        </w:numPr>
        <w:ind w:left="288" w:leftChars="0" w:hanging="288" w:firstLineChars="0"/>
        <w:rPr>
          <w:color w:val="auto"/>
        </w:rPr>
      </w:pPr>
      <w:r>
        <w:rPr>
          <w:color w:val="auto"/>
        </w:rPr>
        <w:t>演练：每年组织一次信息化泄密应急演练，检验预案有效性，提升应急能力。</w:t>
      </w:r>
    </w:p>
    <w:p w14:paraId="36CCD667">
      <w:pPr>
        <w:pStyle w:val="3"/>
        <w:ind w:left="0" w:leftChars="0"/>
        <w:outlineLvl w:val="0"/>
        <w:rPr>
          <w:color w:val="auto"/>
        </w:rPr>
      </w:pPr>
      <w:bookmarkStart w:id="89" w:name="_Toc32644"/>
      <w:r>
        <w:rPr>
          <w:color w:val="auto"/>
        </w:rPr>
        <w:t>八、商业秘密法律保护与争议解决</w:t>
      </w:r>
      <w:bookmarkEnd w:id="89"/>
    </w:p>
    <w:p w14:paraId="549B1797">
      <w:pPr>
        <w:pStyle w:val="4"/>
        <w:ind w:left="0" w:leftChars="0"/>
        <w:outlineLvl w:val="1"/>
        <w:rPr>
          <w:color w:val="auto"/>
        </w:rPr>
      </w:pPr>
      <w:bookmarkStart w:id="90" w:name="_Toc29018"/>
      <w:r>
        <w:rPr>
          <w:color w:val="auto"/>
        </w:rPr>
        <w:t>8.1 前置性法律保护措施</w:t>
      </w:r>
      <w:bookmarkEnd w:id="90"/>
    </w:p>
    <w:p w14:paraId="07D8AAB6">
      <w:pPr>
        <w:pStyle w:val="5"/>
        <w:ind w:left="0" w:leftChars="0"/>
        <w:outlineLvl w:val="2"/>
        <w:rPr>
          <w:color w:val="auto"/>
        </w:rPr>
      </w:pPr>
      <w:bookmarkStart w:id="91" w:name="_Toc15541"/>
      <w:r>
        <w:rPr>
          <w:color w:val="auto"/>
        </w:rPr>
        <w:t>8.1.1 合同保护</w:t>
      </w:r>
      <w:bookmarkEnd w:id="91"/>
    </w:p>
    <w:p w14:paraId="69F993C2">
      <w:pPr>
        <w:pStyle w:val="21"/>
        <w:numPr>
          <w:ilvl w:val="0"/>
          <w:numId w:val="40"/>
        </w:numPr>
        <w:rPr>
          <w:color w:val="auto"/>
        </w:rPr>
      </w:pPr>
      <w:r>
        <w:rPr>
          <w:color w:val="auto"/>
        </w:rPr>
        <w:t>内部合同：与员工签订《保密协议》《竞业限制协议》，明确保密义务与违约责任；与核心涉密人员签订《补充保密协议》，细化核心秘密的保护要求；</w:t>
      </w:r>
    </w:p>
    <w:p w14:paraId="44446AC7">
      <w:pPr>
        <w:pStyle w:val="21"/>
        <w:numPr>
          <w:ilvl w:val="0"/>
          <w:numId w:val="40"/>
        </w:numPr>
        <w:rPr>
          <w:color w:val="auto"/>
        </w:rPr>
      </w:pPr>
      <w:r>
        <w:rPr>
          <w:color w:val="auto"/>
        </w:rPr>
        <w:t>外部合同：与供应商、客户、合作方签订《商务合作保密协议》，明确保密范围、期限、违约责任；与第三方机构（如律师事务所、检测机构）签订《服务保密协议》，防止服务过程中泄密。</w:t>
      </w:r>
    </w:p>
    <w:p w14:paraId="4463F8D7">
      <w:pPr>
        <w:pStyle w:val="5"/>
        <w:ind w:left="0" w:leftChars="0"/>
        <w:outlineLvl w:val="2"/>
        <w:rPr>
          <w:color w:val="auto"/>
        </w:rPr>
      </w:pPr>
      <w:bookmarkStart w:id="92" w:name="_Toc7290"/>
      <w:r>
        <w:rPr>
          <w:color w:val="auto"/>
        </w:rPr>
        <w:t>8.1.2 证据固定</w:t>
      </w:r>
      <w:bookmarkEnd w:id="92"/>
    </w:p>
    <w:p w14:paraId="1529D39E">
      <w:pPr>
        <w:pStyle w:val="21"/>
        <w:numPr>
          <w:ilvl w:val="0"/>
          <w:numId w:val="41"/>
        </w:numPr>
        <w:rPr>
          <w:color w:val="auto"/>
        </w:rPr>
      </w:pPr>
      <w:r>
        <w:rPr>
          <w:color w:val="auto"/>
        </w:rPr>
        <w:t>权属证据：留存商业秘密研发记录（如实验报告、设计图纸）、定密审批文件、存证材料（区块链存证、公证书），证明企业是商业秘密权利人；</w:t>
      </w:r>
    </w:p>
    <w:p w14:paraId="6F7A359B">
      <w:pPr>
        <w:pStyle w:val="21"/>
        <w:numPr>
          <w:ilvl w:val="0"/>
          <w:numId w:val="41"/>
        </w:numPr>
        <w:rPr>
          <w:color w:val="auto"/>
        </w:rPr>
      </w:pPr>
      <w:r>
        <w:rPr>
          <w:color w:val="auto"/>
        </w:rPr>
        <w:t>秘密性证据：委托第三方机构出具《技术查新报告》，证明商业秘密 “不为公众所知悉”；</w:t>
      </w:r>
    </w:p>
    <w:p w14:paraId="709C7CBA">
      <w:pPr>
        <w:pStyle w:val="21"/>
        <w:numPr>
          <w:ilvl w:val="0"/>
          <w:numId w:val="41"/>
        </w:numPr>
        <w:rPr>
          <w:color w:val="auto"/>
        </w:rPr>
      </w:pPr>
      <w:r>
        <w:rPr>
          <w:color w:val="auto"/>
        </w:rPr>
        <w:t>保密性证据：留存保密制度、保密协议、涉密区域标识、访问记录，证明企业已采取合理保密措施；</w:t>
      </w:r>
    </w:p>
    <w:p w14:paraId="67447CB6">
      <w:pPr>
        <w:pStyle w:val="21"/>
        <w:numPr>
          <w:ilvl w:val="0"/>
          <w:numId w:val="41"/>
        </w:numPr>
        <w:rPr>
          <w:color w:val="auto"/>
        </w:rPr>
      </w:pPr>
      <w:r>
        <w:rPr>
          <w:color w:val="auto"/>
        </w:rPr>
        <w:t>侵权证据：提前制定证据收集方案，如发现侵权，及时固定侵权产品、销售记录、沟通记录等证据。</w:t>
      </w:r>
    </w:p>
    <w:p w14:paraId="6B891292">
      <w:pPr>
        <w:pStyle w:val="5"/>
        <w:ind w:left="0" w:leftChars="0"/>
        <w:outlineLvl w:val="2"/>
        <w:rPr>
          <w:color w:val="auto"/>
        </w:rPr>
      </w:pPr>
      <w:bookmarkStart w:id="93" w:name="_Toc2653"/>
      <w:r>
        <w:rPr>
          <w:color w:val="auto"/>
        </w:rPr>
        <w:t>8.1.3 风险预警</w:t>
      </w:r>
      <w:bookmarkEnd w:id="93"/>
    </w:p>
    <w:p w14:paraId="76DFE23F">
      <w:pPr>
        <w:pStyle w:val="21"/>
        <w:numPr>
          <w:ilvl w:val="0"/>
          <w:numId w:val="42"/>
        </w:numPr>
        <w:rPr>
          <w:color w:val="auto"/>
        </w:rPr>
      </w:pPr>
      <w:r>
        <w:rPr>
          <w:color w:val="auto"/>
        </w:rPr>
        <w:t>内部预警：定期排查保密风险（如涉密人员异常行为、涉密载体丢失），建立风险台账，及时整改；</w:t>
      </w:r>
    </w:p>
    <w:p w14:paraId="68B4A82B">
      <w:pPr>
        <w:pStyle w:val="21"/>
        <w:numPr>
          <w:ilvl w:val="0"/>
          <w:numId w:val="42"/>
        </w:numPr>
        <w:rPr>
          <w:color w:val="auto"/>
        </w:rPr>
      </w:pPr>
      <w:r>
        <w:rPr>
          <w:color w:val="auto"/>
        </w:rPr>
        <w:t>外部预警：通过行业</w:t>
      </w:r>
      <w:r>
        <w:rPr>
          <w:rFonts w:hint="eastAsia"/>
          <w:color w:val="auto"/>
          <w:lang w:val="en-US" w:eastAsia="zh-CN"/>
        </w:rPr>
        <w:t>商</w:t>
      </w:r>
      <w:r>
        <w:rPr>
          <w:color w:val="auto"/>
        </w:rPr>
        <w:t>协会、市场监管局、律师事务所，关注竞争对手动态，如发现竞争对手推出与企业核心技术相似的产品，及时开展侵权调查；</w:t>
      </w:r>
    </w:p>
    <w:p w14:paraId="64EC41AC">
      <w:pPr>
        <w:pStyle w:val="21"/>
        <w:numPr>
          <w:ilvl w:val="0"/>
          <w:numId w:val="42"/>
        </w:numPr>
        <w:rPr>
          <w:color w:val="auto"/>
        </w:rPr>
      </w:pPr>
      <w:r>
        <w:rPr>
          <w:color w:val="auto"/>
        </w:rPr>
        <w:t>涉外预警：如企业产品出口或技术合作涉及境外，提前了解目标国商业秘密保护法规（如美国《经济间谍法》），评估跨境泄密风险，制定应对策略。</w:t>
      </w:r>
    </w:p>
    <w:p w14:paraId="368F3A0C">
      <w:pPr>
        <w:pStyle w:val="4"/>
        <w:ind w:left="0" w:leftChars="0"/>
        <w:outlineLvl w:val="1"/>
        <w:rPr>
          <w:color w:val="auto"/>
        </w:rPr>
      </w:pPr>
      <w:bookmarkStart w:id="94" w:name="_Toc24848"/>
      <w:r>
        <w:rPr>
          <w:color w:val="auto"/>
        </w:rPr>
        <w:t>8.2 泄密事件应对机制</w:t>
      </w:r>
      <w:bookmarkEnd w:id="94"/>
    </w:p>
    <w:p w14:paraId="46B6F47D">
      <w:pPr>
        <w:pStyle w:val="5"/>
        <w:ind w:left="0" w:leftChars="0"/>
        <w:outlineLvl w:val="2"/>
        <w:rPr>
          <w:color w:val="auto"/>
        </w:rPr>
      </w:pPr>
      <w:bookmarkStart w:id="95" w:name="_Toc25617"/>
      <w:r>
        <w:rPr>
          <w:color w:val="auto"/>
        </w:rPr>
        <w:t>8.2.1 事件分级</w:t>
      </w:r>
      <w:bookmarkEnd w:id="95"/>
    </w:p>
    <w:p w14:paraId="7E3767B1">
      <w:pPr>
        <w:pStyle w:val="21"/>
        <w:rPr>
          <w:color w:val="auto"/>
        </w:rPr>
      </w:pPr>
      <w:r>
        <w:rPr>
          <w:color w:val="auto"/>
        </w:rPr>
        <w:t>根据泄密影响范围与损失程度，将泄密事件分为一般泄密、较大泄密、重大泄密三级：</w:t>
      </w:r>
    </w:p>
    <w:p w14:paraId="27EB49D5">
      <w:pPr>
        <w:pStyle w:val="21"/>
        <w:numPr>
          <w:ilvl w:val="0"/>
          <w:numId w:val="0"/>
        </w:numPr>
        <w:ind w:left="288" w:leftChars="0" w:hanging="288" w:firstLineChars="0"/>
        <w:rPr>
          <w:color w:val="auto"/>
        </w:rPr>
      </w:pPr>
      <w:r>
        <w:rPr>
          <w:color w:val="auto"/>
        </w:rPr>
        <w:t>一般泄密：泄露一般秘密，未造成经济损失；</w:t>
      </w:r>
    </w:p>
    <w:p w14:paraId="28771400">
      <w:pPr>
        <w:pStyle w:val="21"/>
        <w:numPr>
          <w:ilvl w:val="0"/>
          <w:numId w:val="0"/>
        </w:numPr>
        <w:ind w:left="288" w:leftChars="0" w:hanging="288" w:firstLineChars="0"/>
        <w:rPr>
          <w:color w:val="auto"/>
        </w:rPr>
      </w:pPr>
      <w:r>
        <w:rPr>
          <w:color w:val="auto"/>
        </w:rPr>
        <w:t>较大泄密：泄露重要秘密，造成经济损失（如损失金额 10-50 万元）；</w:t>
      </w:r>
    </w:p>
    <w:p w14:paraId="42BEFC03">
      <w:pPr>
        <w:pStyle w:val="21"/>
        <w:numPr>
          <w:ilvl w:val="0"/>
          <w:numId w:val="0"/>
        </w:numPr>
        <w:ind w:left="288" w:leftChars="0" w:hanging="288" w:firstLineChars="0"/>
        <w:rPr>
          <w:color w:val="auto"/>
        </w:rPr>
      </w:pPr>
      <w:r>
        <w:rPr>
          <w:color w:val="auto"/>
        </w:rPr>
        <w:t>重大泄密：泄露核心秘密，造成重大经济损失（如损失金额 50 万元以上）或严重影响企业竞争力。</w:t>
      </w:r>
    </w:p>
    <w:p w14:paraId="031DC852">
      <w:pPr>
        <w:pStyle w:val="5"/>
        <w:ind w:left="0" w:leftChars="0"/>
        <w:outlineLvl w:val="2"/>
        <w:rPr>
          <w:color w:val="auto"/>
        </w:rPr>
      </w:pPr>
      <w:bookmarkStart w:id="96" w:name="_Toc19758"/>
      <w:r>
        <w:rPr>
          <w:color w:val="auto"/>
        </w:rPr>
        <w:t>8.2.2 响应流程</w:t>
      </w:r>
      <w:bookmarkEnd w:id="96"/>
    </w:p>
    <w:p w14:paraId="206D89FE">
      <w:pPr>
        <w:pStyle w:val="21"/>
        <w:numPr>
          <w:ilvl w:val="0"/>
          <w:numId w:val="43"/>
        </w:numPr>
        <w:rPr>
          <w:color w:val="auto"/>
        </w:rPr>
      </w:pPr>
      <w:r>
        <w:rPr>
          <w:color w:val="auto"/>
        </w:rPr>
        <w:t>一般泄密：由保密管理部牵头调查，制定整改措施，追究相关人员责任（如警告、罚款）；</w:t>
      </w:r>
    </w:p>
    <w:p w14:paraId="5F9B134A">
      <w:pPr>
        <w:pStyle w:val="21"/>
        <w:numPr>
          <w:ilvl w:val="0"/>
          <w:numId w:val="43"/>
        </w:numPr>
        <w:rPr>
          <w:color w:val="auto"/>
        </w:rPr>
      </w:pPr>
      <w:r>
        <w:rPr>
          <w:color w:val="auto"/>
        </w:rPr>
        <w:t>较大泄密：保密管理部上报保密委员会，组织专项调查，采取数据补救、系统加固等措施，追究相关人员责任（如降职、解除劳动合同），必要时寻求律师帮助；</w:t>
      </w:r>
    </w:p>
    <w:p w14:paraId="4B433872">
      <w:pPr>
        <w:pStyle w:val="21"/>
        <w:numPr>
          <w:ilvl w:val="0"/>
          <w:numId w:val="43"/>
        </w:numPr>
        <w:rPr>
          <w:color w:val="auto"/>
        </w:rPr>
      </w:pPr>
      <w:r>
        <w:rPr>
          <w:color w:val="auto"/>
        </w:rPr>
        <w:t>重大泄密：保密委员会立即启动应急预案，成立应急小组，开展以下工作：</w:t>
      </w:r>
    </w:p>
    <w:p w14:paraId="2ED9066B">
      <w:pPr>
        <w:pStyle w:val="21"/>
        <w:numPr>
          <w:ilvl w:val="1"/>
          <w:numId w:val="0"/>
        </w:numPr>
        <w:ind w:left="720" w:leftChars="0" w:hanging="288" w:firstLineChars="0"/>
        <w:rPr>
          <w:color w:val="auto"/>
        </w:rPr>
      </w:pPr>
      <w:r>
        <w:rPr>
          <w:color w:val="auto"/>
        </w:rPr>
        <w:t>证据固定：收集泄密证据（如侵权产品、聊天记录、银行流水），必要时申请公证；</w:t>
      </w:r>
    </w:p>
    <w:p w14:paraId="2C966A49">
      <w:pPr>
        <w:pStyle w:val="21"/>
        <w:numPr>
          <w:ilvl w:val="1"/>
          <w:numId w:val="0"/>
        </w:numPr>
        <w:ind w:left="720" w:leftChars="0" w:hanging="288" w:firstLineChars="0"/>
        <w:rPr>
          <w:color w:val="auto"/>
        </w:rPr>
      </w:pPr>
      <w:r>
        <w:rPr>
          <w:color w:val="auto"/>
        </w:rPr>
        <w:t>止损措施：停止相关技术使用、通知客户与合作方加强保密、向市场监管局或公安局报案；</w:t>
      </w:r>
    </w:p>
    <w:p w14:paraId="054D2065">
      <w:pPr>
        <w:pStyle w:val="21"/>
        <w:numPr>
          <w:ilvl w:val="1"/>
          <w:numId w:val="0"/>
        </w:numPr>
        <w:ind w:left="720" w:leftChars="0" w:hanging="288" w:firstLineChars="0"/>
        <w:rPr>
          <w:color w:val="auto"/>
        </w:rPr>
      </w:pPr>
      <w:r>
        <w:rPr>
          <w:color w:val="auto"/>
        </w:rPr>
        <w:t>维权准备：委托律师制定维权方案，评估通过行政、民事、刑事途径维权的可行性。</w:t>
      </w:r>
    </w:p>
    <w:p w14:paraId="0094EE78">
      <w:pPr>
        <w:pStyle w:val="4"/>
        <w:ind w:left="0" w:leftChars="0"/>
        <w:outlineLvl w:val="1"/>
        <w:rPr>
          <w:color w:val="auto"/>
        </w:rPr>
      </w:pPr>
      <w:bookmarkStart w:id="97" w:name="_Toc25900"/>
      <w:r>
        <w:rPr>
          <w:color w:val="auto"/>
        </w:rPr>
        <w:t>8.3 争议解决途径</w:t>
      </w:r>
      <w:bookmarkEnd w:id="97"/>
    </w:p>
    <w:p w14:paraId="03858D18">
      <w:pPr>
        <w:pStyle w:val="5"/>
        <w:ind w:left="0" w:leftChars="0"/>
        <w:outlineLvl w:val="2"/>
        <w:rPr>
          <w:color w:val="auto"/>
        </w:rPr>
      </w:pPr>
      <w:bookmarkStart w:id="98" w:name="_Toc26148"/>
      <w:r>
        <w:rPr>
          <w:color w:val="auto"/>
        </w:rPr>
        <w:t>8.3.1 行政途径</w:t>
      </w:r>
      <w:bookmarkEnd w:id="98"/>
    </w:p>
    <w:p w14:paraId="6B6E5680">
      <w:pPr>
        <w:pStyle w:val="21"/>
        <w:rPr>
          <w:color w:val="auto"/>
        </w:rPr>
      </w:pPr>
      <w:r>
        <w:rPr>
          <w:color w:val="auto"/>
        </w:rPr>
        <w:t>如发现他人侵犯企业商业秘密，可向侵权行为地或企业所在地的市场监管局举报，提交以下材料：</w:t>
      </w:r>
    </w:p>
    <w:p w14:paraId="4CC19B52">
      <w:pPr>
        <w:pStyle w:val="21"/>
        <w:numPr>
          <w:ilvl w:val="0"/>
          <w:numId w:val="0"/>
        </w:numPr>
        <w:ind w:left="288" w:leftChars="0" w:hanging="288" w:firstLineChars="0"/>
        <w:rPr>
          <w:color w:val="auto"/>
        </w:rPr>
      </w:pPr>
      <w:r>
        <w:rPr>
          <w:color w:val="auto"/>
        </w:rPr>
        <w:t>举报书：载明举报人与被举报人的基本信息、侵权事实、证据清单；</w:t>
      </w:r>
    </w:p>
    <w:p w14:paraId="4DAA0698">
      <w:pPr>
        <w:pStyle w:val="21"/>
        <w:numPr>
          <w:ilvl w:val="0"/>
          <w:numId w:val="0"/>
        </w:numPr>
        <w:ind w:left="288" w:leftChars="0" w:hanging="288" w:firstLineChars="0"/>
        <w:rPr>
          <w:color w:val="auto"/>
        </w:rPr>
      </w:pPr>
      <w:r>
        <w:rPr>
          <w:color w:val="auto"/>
        </w:rPr>
        <w:t>权属证据：企业商业秘密的证明材料（如《商业秘密清单》、研发记录）；</w:t>
      </w:r>
    </w:p>
    <w:p w14:paraId="52BF6B3F">
      <w:pPr>
        <w:pStyle w:val="21"/>
        <w:numPr>
          <w:ilvl w:val="0"/>
          <w:numId w:val="0"/>
        </w:numPr>
        <w:ind w:left="288" w:leftChars="0" w:hanging="288" w:firstLineChars="0"/>
        <w:rPr>
          <w:color w:val="auto"/>
        </w:rPr>
      </w:pPr>
      <w:r>
        <w:rPr>
          <w:color w:val="auto"/>
        </w:rPr>
        <w:t>侵权证据：证明被举报人实施侵权行为的材料（如侵权产品照片、销售合同）；</w:t>
      </w:r>
    </w:p>
    <w:p w14:paraId="0A0D8F30">
      <w:pPr>
        <w:pStyle w:val="21"/>
        <w:numPr>
          <w:ilvl w:val="0"/>
          <w:numId w:val="0"/>
        </w:numPr>
        <w:ind w:left="288" w:leftChars="0" w:hanging="288" w:firstLineChars="0"/>
        <w:rPr>
          <w:color w:val="auto"/>
        </w:rPr>
      </w:pPr>
      <w:r>
        <w:rPr>
          <w:color w:val="auto"/>
        </w:rPr>
        <w:t>保密措施证据：企业采取的保密措施证明（如保密协议、涉密区域标识）；</w:t>
      </w:r>
    </w:p>
    <w:p w14:paraId="44F2786D">
      <w:pPr>
        <w:pStyle w:val="21"/>
        <w:rPr>
          <w:color w:val="auto"/>
        </w:rPr>
      </w:pPr>
      <w:r>
        <w:rPr>
          <w:color w:val="auto"/>
        </w:rPr>
        <w:t>市场监管局经调查认定侵权成立的，将责令侵权人停止违法行为，没收违法所得，并处以罚款（最高可达 500 万元）。</w:t>
      </w:r>
    </w:p>
    <w:p w14:paraId="591BE072">
      <w:pPr>
        <w:pStyle w:val="5"/>
        <w:ind w:left="0" w:leftChars="0"/>
        <w:outlineLvl w:val="2"/>
        <w:rPr>
          <w:color w:val="auto"/>
        </w:rPr>
      </w:pPr>
      <w:bookmarkStart w:id="99" w:name="_Toc32656"/>
      <w:r>
        <w:rPr>
          <w:color w:val="auto"/>
        </w:rPr>
        <w:t>8.3.2 民事途径</w:t>
      </w:r>
      <w:bookmarkEnd w:id="99"/>
    </w:p>
    <w:p w14:paraId="581C513D">
      <w:pPr>
        <w:pStyle w:val="21"/>
        <w:numPr>
          <w:ilvl w:val="0"/>
          <w:numId w:val="44"/>
        </w:numPr>
        <w:rPr>
          <w:color w:val="auto"/>
        </w:rPr>
      </w:pPr>
      <w:r>
        <w:rPr>
          <w:color w:val="auto"/>
        </w:rPr>
        <w:t>劳动仲裁：如员工违反保密协议或竞业限制协议，企业可向劳动合同履行地或企业所在地的劳动仲裁委员会申请仲裁，要求员工承担违约责任（如支付违约金、赔偿损失）；对仲裁结果不服的，可向法院提起诉讼；</w:t>
      </w:r>
    </w:p>
    <w:p w14:paraId="33431A0B">
      <w:pPr>
        <w:pStyle w:val="21"/>
        <w:numPr>
          <w:ilvl w:val="0"/>
          <w:numId w:val="44"/>
        </w:numPr>
        <w:rPr>
          <w:color w:val="auto"/>
        </w:rPr>
      </w:pPr>
      <w:r>
        <w:rPr>
          <w:color w:val="auto"/>
        </w:rPr>
        <w:t>民事诉讼：如第三方企业或个人侵犯商业秘密，企业可向侵权行为地或被告住所地的法院提起民事诉讼，诉讼请求包括：</w:t>
      </w:r>
    </w:p>
    <w:p w14:paraId="7752F355">
      <w:pPr>
        <w:pStyle w:val="21"/>
        <w:numPr>
          <w:ilvl w:val="1"/>
          <w:numId w:val="0"/>
        </w:numPr>
        <w:ind w:left="720" w:leftChars="0" w:hanging="288" w:firstLineChars="0"/>
        <w:rPr>
          <w:color w:val="auto"/>
        </w:rPr>
      </w:pPr>
      <w:r>
        <w:rPr>
          <w:color w:val="auto"/>
        </w:rPr>
        <w:t>停止侵权：要求侵权人停止使用、披露商业秘密；</w:t>
      </w:r>
    </w:p>
    <w:p w14:paraId="686786D9">
      <w:pPr>
        <w:pStyle w:val="21"/>
        <w:numPr>
          <w:ilvl w:val="1"/>
          <w:numId w:val="0"/>
        </w:numPr>
        <w:ind w:left="720" w:leftChars="0" w:hanging="288" w:firstLineChars="0"/>
        <w:rPr>
          <w:color w:val="auto"/>
        </w:rPr>
      </w:pPr>
      <w:r>
        <w:rPr>
          <w:color w:val="auto"/>
        </w:rPr>
        <w:t>赔偿损失：要求侵权人赔偿经济损失（包括直接损失与间接损失，如研发投入、市场份额损失）；</w:t>
      </w:r>
    </w:p>
    <w:p w14:paraId="34AF4A22">
      <w:pPr>
        <w:pStyle w:val="21"/>
        <w:numPr>
          <w:ilvl w:val="1"/>
          <w:numId w:val="0"/>
        </w:numPr>
        <w:ind w:left="720" w:leftChars="0" w:hanging="288" w:firstLineChars="0"/>
        <w:rPr>
          <w:color w:val="auto"/>
        </w:rPr>
      </w:pPr>
      <w:r>
        <w:rPr>
          <w:color w:val="auto"/>
        </w:rPr>
        <w:t>惩罚性赔偿：如侵权人恶意实施侵权且情节严重，可要求 1-5 倍的惩罚性赔偿；</w:t>
      </w:r>
    </w:p>
    <w:p w14:paraId="115E681D">
      <w:pPr>
        <w:pStyle w:val="21"/>
        <w:numPr>
          <w:ilvl w:val="0"/>
          <w:numId w:val="0"/>
        </w:numPr>
        <w:ind w:leftChars="0"/>
        <w:rPr>
          <w:color w:val="auto"/>
        </w:rPr>
      </w:pPr>
      <w:r>
        <w:rPr>
          <w:rFonts w:hint="eastAsia"/>
          <w:color w:val="auto"/>
          <w:lang w:val="en-US" w:eastAsia="zh-CN"/>
        </w:rPr>
        <w:t>3.</w:t>
      </w:r>
      <w:r>
        <w:rPr>
          <w:color w:val="auto"/>
        </w:rPr>
        <w:t>商事仲裁：如企业与合作方在保密协议中约定了仲裁条款，可向约定的仲裁委员会申请仲裁，仲裁裁决具有法律效力，可申请法院强制执行。</w:t>
      </w:r>
    </w:p>
    <w:p w14:paraId="628F3354">
      <w:pPr>
        <w:pStyle w:val="5"/>
        <w:ind w:left="0" w:leftChars="0"/>
        <w:outlineLvl w:val="2"/>
        <w:rPr>
          <w:color w:val="auto"/>
        </w:rPr>
      </w:pPr>
      <w:bookmarkStart w:id="100" w:name="_Toc14528"/>
      <w:r>
        <w:rPr>
          <w:color w:val="auto"/>
        </w:rPr>
        <w:t>8.3.3 刑事途径</w:t>
      </w:r>
      <w:bookmarkEnd w:id="100"/>
    </w:p>
    <w:p w14:paraId="39D8D08C">
      <w:pPr>
        <w:pStyle w:val="21"/>
        <w:rPr>
          <w:color w:val="auto"/>
        </w:rPr>
      </w:pPr>
      <w:r>
        <w:rPr>
          <w:color w:val="auto"/>
        </w:rPr>
        <w:t>如泄密行为涉嫌犯罪（如《刑法》第二百一十九条 “侵犯商业秘密罪”），企业可向犯罪行为发生地的公安局报案，报案需提交以下材料：</w:t>
      </w:r>
    </w:p>
    <w:p w14:paraId="1EE1E2C4">
      <w:pPr>
        <w:pStyle w:val="21"/>
        <w:numPr>
          <w:ilvl w:val="0"/>
          <w:numId w:val="0"/>
        </w:numPr>
        <w:ind w:left="288" w:leftChars="0" w:hanging="288" w:firstLineChars="0"/>
        <w:rPr>
          <w:color w:val="auto"/>
        </w:rPr>
      </w:pPr>
      <w:r>
        <w:rPr>
          <w:color w:val="auto"/>
        </w:rPr>
        <w:t>报案书：载明报案人基本信息、犯罪事实、报案请求；</w:t>
      </w:r>
    </w:p>
    <w:p w14:paraId="52C7DCDE">
      <w:pPr>
        <w:pStyle w:val="21"/>
        <w:numPr>
          <w:ilvl w:val="0"/>
          <w:numId w:val="0"/>
        </w:numPr>
        <w:ind w:left="288" w:leftChars="0" w:hanging="288" w:firstLineChars="0"/>
        <w:rPr>
          <w:color w:val="auto"/>
        </w:rPr>
      </w:pPr>
      <w:r>
        <w:rPr>
          <w:color w:val="auto"/>
        </w:rPr>
        <w:t>证据材料：包括商业秘密权属证据、侵权证据、损失证据（如司法鉴定机构出具的损失评估报告）；</w:t>
      </w:r>
    </w:p>
    <w:p w14:paraId="306362CC">
      <w:pPr>
        <w:pStyle w:val="21"/>
        <w:rPr>
          <w:color w:val="auto"/>
        </w:rPr>
      </w:pPr>
      <w:r>
        <w:rPr>
          <w:color w:val="auto"/>
        </w:rPr>
        <w:t>公安局经审查认为符合立案条件的，将立案侦查，追究侵权人的刑事责任（如有期徒刑、罚金）。</w:t>
      </w:r>
    </w:p>
    <w:p w14:paraId="028C4F6C">
      <w:pPr>
        <w:pStyle w:val="4"/>
        <w:ind w:left="0" w:leftChars="0"/>
        <w:outlineLvl w:val="1"/>
        <w:rPr>
          <w:color w:val="auto"/>
        </w:rPr>
      </w:pPr>
      <w:bookmarkStart w:id="101" w:name="_Toc11651"/>
      <w:r>
        <w:rPr>
          <w:color w:val="auto"/>
        </w:rPr>
        <w:t>8.4 商业秘密鉴定</w:t>
      </w:r>
      <w:bookmarkEnd w:id="101"/>
    </w:p>
    <w:p w14:paraId="30374331">
      <w:pPr>
        <w:pStyle w:val="21"/>
        <w:rPr>
          <w:color w:val="auto"/>
        </w:rPr>
      </w:pPr>
      <w:r>
        <w:rPr>
          <w:color w:val="auto"/>
        </w:rPr>
        <w:t>如维权过程中需要对商业秘密进行专业认定，可委托具备资质的司法鉴定机构进行鉴定，常见鉴定类型包括：</w:t>
      </w:r>
    </w:p>
    <w:p w14:paraId="7E6FB4FF">
      <w:pPr>
        <w:pStyle w:val="21"/>
        <w:numPr>
          <w:ilvl w:val="0"/>
          <w:numId w:val="0"/>
        </w:numPr>
        <w:ind w:left="288" w:leftChars="0" w:hanging="288" w:firstLineChars="0"/>
        <w:rPr>
          <w:color w:val="auto"/>
        </w:rPr>
      </w:pPr>
      <w:r>
        <w:rPr>
          <w:color w:val="auto"/>
        </w:rPr>
        <w:t>非公知性鉴定：鉴定企业主张的商业秘密是否 “不为公众所知悉”；</w:t>
      </w:r>
    </w:p>
    <w:p w14:paraId="11720BD0">
      <w:pPr>
        <w:pStyle w:val="21"/>
        <w:numPr>
          <w:ilvl w:val="0"/>
          <w:numId w:val="0"/>
        </w:numPr>
        <w:ind w:left="288" w:leftChars="0" w:hanging="288" w:firstLineChars="0"/>
        <w:rPr>
          <w:color w:val="auto"/>
        </w:rPr>
      </w:pPr>
      <w:r>
        <w:rPr>
          <w:color w:val="auto"/>
        </w:rPr>
        <w:t>同一性鉴定：鉴定侵权人使用的信息与企业商业秘密是否实质相同；</w:t>
      </w:r>
    </w:p>
    <w:p w14:paraId="6209A61C">
      <w:pPr>
        <w:pStyle w:val="21"/>
        <w:numPr>
          <w:ilvl w:val="0"/>
          <w:numId w:val="0"/>
        </w:numPr>
        <w:ind w:left="288" w:leftChars="0" w:hanging="288" w:firstLineChars="0"/>
        <w:rPr>
          <w:color w:val="auto"/>
        </w:rPr>
      </w:pPr>
      <w:r>
        <w:rPr>
          <w:color w:val="auto"/>
        </w:rPr>
        <w:t>损失鉴定：鉴定因泄密造成的经济损失金额；</w:t>
      </w:r>
    </w:p>
    <w:p w14:paraId="4FFEED71">
      <w:pPr>
        <w:pStyle w:val="21"/>
        <w:rPr>
          <w:color w:val="auto"/>
        </w:rPr>
      </w:pPr>
      <w:r>
        <w:rPr>
          <w:color w:val="auto"/>
        </w:rPr>
        <w:t>鉴定流程包括：委托方提出申请、提交材料（如商业秘密载体、侵权产品）、鉴定机构开展检测与分析、出具鉴定意见书，鉴定意见书可作为行政查处、民事诉讼、刑事诉讼的重要证据。</w:t>
      </w:r>
    </w:p>
    <w:p w14:paraId="2DF94D0E">
      <w:pPr>
        <w:pStyle w:val="3"/>
        <w:ind w:left="0" w:leftChars="0"/>
        <w:outlineLvl w:val="0"/>
        <w:rPr>
          <w:color w:val="auto"/>
        </w:rPr>
      </w:pPr>
      <w:bookmarkStart w:id="102" w:name="_Toc7219"/>
      <w:r>
        <w:rPr>
          <w:color w:val="auto"/>
        </w:rPr>
        <w:t>九、涉外商业秘密保护</w:t>
      </w:r>
      <w:bookmarkEnd w:id="102"/>
    </w:p>
    <w:p w14:paraId="623DB1AE">
      <w:pPr>
        <w:pStyle w:val="4"/>
        <w:ind w:left="0" w:leftChars="0"/>
        <w:outlineLvl w:val="1"/>
        <w:rPr>
          <w:color w:val="auto"/>
        </w:rPr>
      </w:pPr>
      <w:bookmarkStart w:id="103" w:name="_Toc8042"/>
      <w:r>
        <w:rPr>
          <w:color w:val="auto"/>
        </w:rPr>
        <w:t>9.1 涉外风险评估</w:t>
      </w:r>
      <w:bookmarkEnd w:id="103"/>
    </w:p>
    <w:p w14:paraId="6BD8959F">
      <w:pPr>
        <w:pStyle w:val="5"/>
        <w:ind w:left="0" w:leftChars="0"/>
        <w:outlineLvl w:val="2"/>
        <w:rPr>
          <w:color w:val="auto"/>
        </w:rPr>
      </w:pPr>
      <w:bookmarkStart w:id="104" w:name="_Toc17756"/>
      <w:r>
        <w:rPr>
          <w:color w:val="auto"/>
        </w:rPr>
        <w:t>9.1.1 风险识别</w:t>
      </w:r>
      <w:bookmarkEnd w:id="104"/>
    </w:p>
    <w:p w14:paraId="591054F4">
      <w:pPr>
        <w:pStyle w:val="21"/>
        <w:rPr>
          <w:color w:val="auto"/>
        </w:rPr>
      </w:pPr>
      <w:r>
        <w:rPr>
          <w:color w:val="auto"/>
        </w:rPr>
        <w:t>轴承企业开展涉外业务（如产品出口、技术合作、海外投资）时，应识别以下涉外商业秘密风险：</w:t>
      </w:r>
    </w:p>
    <w:p w14:paraId="720009D3">
      <w:pPr>
        <w:pStyle w:val="21"/>
        <w:numPr>
          <w:ilvl w:val="0"/>
          <w:numId w:val="0"/>
        </w:numPr>
        <w:ind w:left="288" w:leftChars="0" w:hanging="288" w:firstLineChars="0"/>
        <w:rPr>
          <w:color w:val="auto"/>
        </w:rPr>
      </w:pPr>
      <w:r>
        <w:rPr>
          <w:color w:val="auto"/>
        </w:rPr>
        <w:t>法律风险：目标国商业秘密保护法规与中国差异（如美国要求企业更主动采取保密措施）、跨境执法差异（如欧盟《通用数据保护条例》对数据传输的限制）；</w:t>
      </w:r>
    </w:p>
    <w:p w14:paraId="6A7E9FEC">
      <w:pPr>
        <w:pStyle w:val="21"/>
        <w:numPr>
          <w:ilvl w:val="0"/>
          <w:numId w:val="0"/>
        </w:numPr>
        <w:ind w:left="288" w:leftChars="0" w:hanging="288" w:firstLineChars="0"/>
        <w:rPr>
          <w:color w:val="auto"/>
        </w:rPr>
      </w:pPr>
      <w:r>
        <w:rPr>
          <w:color w:val="auto"/>
        </w:rPr>
        <w:t>侵权风险：海外竞争对手通过反向工程（如拆解出口轴承分析工艺）、商业间谍（如收买企业海外员工）获取商业秘密；</w:t>
      </w:r>
    </w:p>
    <w:p w14:paraId="61DC4C3A">
      <w:pPr>
        <w:pStyle w:val="21"/>
        <w:numPr>
          <w:ilvl w:val="0"/>
          <w:numId w:val="0"/>
        </w:numPr>
        <w:ind w:left="288" w:leftChars="0" w:hanging="288" w:firstLineChars="0"/>
        <w:rPr>
          <w:color w:val="auto"/>
        </w:rPr>
      </w:pPr>
      <w:r>
        <w:rPr>
          <w:color w:val="auto"/>
        </w:rPr>
        <w:t>合作风险：海外合作方（如代理商、技术合作伙伴）违反保密协议，泄露商业秘密；</w:t>
      </w:r>
    </w:p>
    <w:p w14:paraId="3E2EFDF4">
      <w:pPr>
        <w:pStyle w:val="21"/>
        <w:numPr>
          <w:ilvl w:val="0"/>
          <w:numId w:val="0"/>
        </w:numPr>
        <w:ind w:left="288" w:leftChars="0" w:hanging="288" w:firstLineChars="0"/>
        <w:rPr>
          <w:color w:val="auto"/>
        </w:rPr>
      </w:pPr>
      <w:r>
        <w:rPr>
          <w:color w:val="auto"/>
        </w:rPr>
        <w:t>政治风险：目标国政治动荡、贸易壁垒导致商业秘密保护措施失效。</w:t>
      </w:r>
    </w:p>
    <w:p w14:paraId="301196BB">
      <w:pPr>
        <w:pStyle w:val="5"/>
        <w:ind w:left="0" w:leftChars="0"/>
        <w:outlineLvl w:val="2"/>
        <w:rPr>
          <w:color w:val="auto"/>
        </w:rPr>
      </w:pPr>
      <w:bookmarkStart w:id="105" w:name="_Toc11380"/>
      <w:r>
        <w:rPr>
          <w:color w:val="auto"/>
        </w:rPr>
        <w:t>9.1.2 风险评估</w:t>
      </w:r>
      <w:bookmarkEnd w:id="105"/>
    </w:p>
    <w:p w14:paraId="32997144">
      <w:pPr>
        <w:pStyle w:val="21"/>
        <w:rPr>
          <w:color w:val="auto"/>
        </w:rPr>
      </w:pPr>
      <w:r>
        <w:rPr>
          <w:color w:val="auto"/>
        </w:rPr>
        <w:t>委托专业机构（如涉外律师事务所、行业协会）开展涉外商业秘密风险评估，评估内容包括：</w:t>
      </w:r>
    </w:p>
    <w:p w14:paraId="31113927">
      <w:pPr>
        <w:pStyle w:val="21"/>
        <w:numPr>
          <w:ilvl w:val="0"/>
          <w:numId w:val="0"/>
        </w:numPr>
        <w:ind w:left="288" w:leftChars="0" w:hanging="288" w:firstLineChars="0"/>
        <w:rPr>
          <w:color w:val="auto"/>
        </w:rPr>
      </w:pPr>
      <w:r>
        <w:rPr>
          <w:color w:val="auto"/>
        </w:rPr>
        <w:t>目标国法律环境：分析目标国商业秘密定义、保护措施、侵权责任；</w:t>
      </w:r>
    </w:p>
    <w:p w14:paraId="24493281">
      <w:pPr>
        <w:pStyle w:val="21"/>
        <w:numPr>
          <w:ilvl w:val="0"/>
          <w:numId w:val="0"/>
        </w:numPr>
        <w:ind w:left="288" w:leftChars="0" w:hanging="288" w:firstLineChars="0"/>
        <w:rPr>
          <w:color w:val="auto"/>
        </w:rPr>
      </w:pPr>
      <w:r>
        <w:rPr>
          <w:color w:val="auto"/>
        </w:rPr>
        <w:t>行业竞争环境：调查目标国竞争对手的商业秘密保护与侵权行为；</w:t>
      </w:r>
    </w:p>
    <w:p w14:paraId="5F45F815">
      <w:pPr>
        <w:pStyle w:val="21"/>
        <w:numPr>
          <w:ilvl w:val="0"/>
          <w:numId w:val="0"/>
        </w:numPr>
        <w:ind w:left="288" w:leftChars="0" w:hanging="288" w:firstLineChars="0"/>
        <w:rPr>
          <w:color w:val="auto"/>
        </w:rPr>
      </w:pPr>
      <w:r>
        <w:rPr>
          <w:color w:val="auto"/>
        </w:rPr>
        <w:t>合作方信誉：评估海外合作方的保密能力与信誉；</w:t>
      </w:r>
    </w:p>
    <w:p w14:paraId="0A364E12">
      <w:pPr>
        <w:pStyle w:val="21"/>
        <w:numPr>
          <w:ilvl w:val="0"/>
          <w:numId w:val="0"/>
        </w:numPr>
        <w:ind w:left="288" w:leftChars="0" w:hanging="288" w:firstLineChars="0"/>
        <w:rPr>
          <w:color w:val="auto"/>
        </w:rPr>
      </w:pPr>
      <w:r>
        <w:rPr>
          <w:color w:val="auto"/>
        </w:rPr>
        <w:t>风险等级：根据评估结果，将风险划分为低、中、高三级，形成《涉外商业秘密风险评估报告》。</w:t>
      </w:r>
    </w:p>
    <w:p w14:paraId="56EE657F">
      <w:pPr>
        <w:pStyle w:val="4"/>
        <w:ind w:left="0" w:leftChars="0"/>
        <w:outlineLvl w:val="1"/>
        <w:rPr>
          <w:color w:val="auto"/>
        </w:rPr>
      </w:pPr>
      <w:bookmarkStart w:id="106" w:name="_Toc30037"/>
      <w:r>
        <w:rPr>
          <w:color w:val="auto"/>
        </w:rPr>
        <w:t>9.2 涉外保护措施</w:t>
      </w:r>
      <w:bookmarkEnd w:id="106"/>
    </w:p>
    <w:p w14:paraId="0B40748B">
      <w:pPr>
        <w:pStyle w:val="5"/>
        <w:ind w:left="0" w:leftChars="0"/>
        <w:outlineLvl w:val="2"/>
        <w:rPr>
          <w:color w:val="auto"/>
        </w:rPr>
      </w:pPr>
      <w:bookmarkStart w:id="107" w:name="_Toc17770"/>
      <w:r>
        <w:rPr>
          <w:color w:val="auto"/>
        </w:rPr>
        <w:t>9.2.1 法律合规措施</w:t>
      </w:r>
      <w:bookmarkEnd w:id="107"/>
    </w:p>
    <w:p w14:paraId="60E98D1A">
      <w:pPr>
        <w:pStyle w:val="21"/>
        <w:numPr>
          <w:ilvl w:val="0"/>
          <w:numId w:val="45"/>
        </w:numPr>
        <w:rPr>
          <w:color w:val="auto"/>
        </w:rPr>
      </w:pPr>
      <w:r>
        <w:rPr>
          <w:color w:val="auto"/>
        </w:rPr>
        <w:t>协议合规：与海外合作方签订保密协议时，适用中国法律或对企业有利的第三国法律（如新加坡法律），明确保密义务、违约责任及争议解决方式（如选择中国仲裁机构）；</w:t>
      </w:r>
    </w:p>
    <w:p w14:paraId="291BEE57">
      <w:pPr>
        <w:pStyle w:val="21"/>
        <w:numPr>
          <w:ilvl w:val="0"/>
          <w:numId w:val="45"/>
        </w:numPr>
        <w:rPr>
          <w:color w:val="auto"/>
        </w:rPr>
      </w:pPr>
      <w:r>
        <w:rPr>
          <w:color w:val="auto"/>
        </w:rPr>
        <w:t>数据合规：如涉及商业秘密数据跨境传输，符合目标国数据保护法规（如欧盟 GDPR 要求的 “充分性认定” 或 “标准合同条款”）；</w:t>
      </w:r>
    </w:p>
    <w:p w14:paraId="5B4045FD">
      <w:pPr>
        <w:pStyle w:val="21"/>
        <w:numPr>
          <w:ilvl w:val="0"/>
          <w:numId w:val="45"/>
        </w:numPr>
        <w:rPr>
          <w:color w:val="auto"/>
        </w:rPr>
      </w:pPr>
      <w:r>
        <w:rPr>
          <w:color w:val="auto"/>
        </w:rPr>
        <w:t>员工合规：对派驻海外的员工开展涉外商业秘密保护培训，明确禁止行为（如向海外机构泄露核心工艺），签订《涉外保密承诺书》。</w:t>
      </w:r>
    </w:p>
    <w:p w14:paraId="167A93C3">
      <w:pPr>
        <w:pStyle w:val="5"/>
        <w:ind w:left="0" w:leftChars="0"/>
        <w:outlineLvl w:val="2"/>
        <w:rPr>
          <w:color w:val="auto"/>
        </w:rPr>
      </w:pPr>
      <w:bookmarkStart w:id="108" w:name="_Toc9582"/>
      <w:r>
        <w:rPr>
          <w:color w:val="auto"/>
        </w:rPr>
        <w:t>9.2.2 技术保护措施</w:t>
      </w:r>
      <w:bookmarkEnd w:id="108"/>
    </w:p>
    <w:p w14:paraId="2B390B24">
      <w:pPr>
        <w:pStyle w:val="21"/>
        <w:numPr>
          <w:ilvl w:val="0"/>
          <w:numId w:val="46"/>
        </w:numPr>
        <w:rPr>
          <w:color w:val="auto"/>
        </w:rPr>
      </w:pPr>
      <w:r>
        <w:rPr>
          <w:color w:val="auto"/>
        </w:rPr>
        <w:t>产品加密：对出口的高端轴承产品（如风电轴承）采取防反向工程措施（如使用一体化结构，拆解后无法复原）；</w:t>
      </w:r>
    </w:p>
    <w:p w14:paraId="3826E660">
      <w:pPr>
        <w:pStyle w:val="21"/>
        <w:numPr>
          <w:ilvl w:val="0"/>
          <w:numId w:val="46"/>
        </w:numPr>
        <w:rPr>
          <w:color w:val="auto"/>
        </w:rPr>
      </w:pPr>
      <w:r>
        <w:rPr>
          <w:color w:val="auto"/>
        </w:rPr>
        <w:t>数据加密：涉外业务中传输的涉密数据（如技术方案、客户信息）采用高强度加密技术（如 AES-256 加密），使用企业专用加密通道；</w:t>
      </w:r>
    </w:p>
    <w:p w14:paraId="10E67C64">
      <w:pPr>
        <w:pStyle w:val="21"/>
        <w:numPr>
          <w:ilvl w:val="0"/>
          <w:numId w:val="46"/>
        </w:numPr>
        <w:rPr>
          <w:color w:val="auto"/>
        </w:rPr>
      </w:pPr>
      <w:r>
        <w:rPr>
          <w:color w:val="auto"/>
        </w:rPr>
        <w:t>设备管控：海外分支机构的涉密计算机、服务器安装远程监控与数据销毁软件，如发现泄密风险，可远程销毁数据。</w:t>
      </w:r>
    </w:p>
    <w:p w14:paraId="6FEDED1F">
      <w:pPr>
        <w:pStyle w:val="5"/>
        <w:ind w:left="0" w:leftChars="0"/>
        <w:outlineLvl w:val="2"/>
        <w:rPr>
          <w:color w:val="auto"/>
        </w:rPr>
      </w:pPr>
      <w:bookmarkStart w:id="109" w:name="_Toc25416"/>
      <w:r>
        <w:rPr>
          <w:color w:val="auto"/>
        </w:rPr>
        <w:t>9.2.3 合作管理措施</w:t>
      </w:r>
      <w:bookmarkEnd w:id="109"/>
    </w:p>
    <w:p w14:paraId="7E9543F2">
      <w:pPr>
        <w:pStyle w:val="21"/>
        <w:numPr>
          <w:ilvl w:val="0"/>
          <w:numId w:val="47"/>
        </w:numPr>
        <w:rPr>
          <w:color w:val="auto"/>
        </w:rPr>
      </w:pPr>
      <w:r>
        <w:rPr>
          <w:color w:val="auto"/>
        </w:rPr>
        <w:t>合作方筛选：优先选择有国际商业秘密保护经验、信誉良好的海外合作方，审查其保密制度与历史记录；</w:t>
      </w:r>
    </w:p>
    <w:p w14:paraId="70FEBF3E">
      <w:pPr>
        <w:pStyle w:val="21"/>
        <w:numPr>
          <w:ilvl w:val="0"/>
          <w:numId w:val="47"/>
        </w:numPr>
        <w:rPr>
          <w:color w:val="auto"/>
        </w:rPr>
      </w:pPr>
      <w:r>
        <w:rPr>
          <w:color w:val="auto"/>
        </w:rPr>
        <w:t>信息披露：向海外合作方披露商业秘密时，遵循 “最小必要” 原则，仅提供完成合作所需的信息，核心秘密不对外披露；</w:t>
      </w:r>
    </w:p>
    <w:p w14:paraId="3D74C4C2">
      <w:pPr>
        <w:pStyle w:val="21"/>
        <w:numPr>
          <w:ilvl w:val="0"/>
          <w:numId w:val="47"/>
        </w:numPr>
        <w:rPr>
          <w:color w:val="auto"/>
        </w:rPr>
      </w:pPr>
      <w:r>
        <w:rPr>
          <w:color w:val="auto"/>
        </w:rPr>
        <w:t>过程监督：定期核查海外合作方的保密措施落实情况（如查看其涉密信息存储方式），发现泄密风险及时终止合作并追究责任。</w:t>
      </w:r>
    </w:p>
    <w:p w14:paraId="6750F848">
      <w:pPr>
        <w:pStyle w:val="4"/>
        <w:ind w:left="0" w:leftChars="0"/>
        <w:outlineLvl w:val="1"/>
        <w:rPr>
          <w:color w:val="auto"/>
        </w:rPr>
      </w:pPr>
      <w:bookmarkStart w:id="110" w:name="_Toc25596"/>
      <w:r>
        <w:rPr>
          <w:color w:val="auto"/>
        </w:rPr>
        <w:t>9.3 涉外争议解决</w:t>
      </w:r>
      <w:bookmarkEnd w:id="110"/>
    </w:p>
    <w:p w14:paraId="4EAD72A2">
      <w:pPr>
        <w:pStyle w:val="5"/>
        <w:ind w:left="0" w:leftChars="0"/>
        <w:outlineLvl w:val="2"/>
        <w:rPr>
          <w:color w:val="auto"/>
        </w:rPr>
      </w:pPr>
      <w:bookmarkStart w:id="111" w:name="_Toc30533"/>
      <w:r>
        <w:rPr>
          <w:color w:val="auto"/>
        </w:rPr>
        <w:t>9.3.1 国际仲裁</w:t>
      </w:r>
      <w:bookmarkEnd w:id="111"/>
    </w:p>
    <w:p w14:paraId="1BCDF7EC">
      <w:pPr>
        <w:pStyle w:val="21"/>
        <w:rPr>
          <w:color w:val="auto"/>
        </w:rPr>
      </w:pPr>
      <w:r>
        <w:rPr>
          <w:color w:val="auto"/>
        </w:rPr>
        <w:t>如与海外合作方发生商业秘密争议，且协议中约定了仲裁条款，可选择国际知名仲裁机构（如新加坡国际仲裁中心 SIAC、香港国际仲裁中心 HKIAC）进行仲裁，优势包括：</w:t>
      </w:r>
    </w:p>
    <w:p w14:paraId="01FA97E9">
      <w:pPr>
        <w:pStyle w:val="21"/>
        <w:numPr>
          <w:ilvl w:val="0"/>
          <w:numId w:val="0"/>
        </w:numPr>
        <w:ind w:left="288" w:leftChars="0" w:hanging="288" w:firstLineChars="0"/>
        <w:rPr>
          <w:color w:val="auto"/>
        </w:rPr>
      </w:pPr>
      <w:r>
        <w:rPr>
          <w:color w:val="auto"/>
        </w:rPr>
        <w:t>保密性：仲裁过程与结果不公开，保护商业秘密；</w:t>
      </w:r>
    </w:p>
    <w:p w14:paraId="2BC88653">
      <w:pPr>
        <w:pStyle w:val="21"/>
        <w:numPr>
          <w:ilvl w:val="0"/>
          <w:numId w:val="0"/>
        </w:numPr>
        <w:ind w:left="288" w:leftChars="0" w:hanging="288" w:firstLineChars="0"/>
        <w:rPr>
          <w:color w:val="auto"/>
        </w:rPr>
      </w:pPr>
      <w:r>
        <w:rPr>
          <w:color w:val="auto"/>
        </w:rPr>
        <w:t>专业性：可选择轴承行业与法律领域的专家作为仲裁员；</w:t>
      </w:r>
    </w:p>
    <w:p w14:paraId="3AD37F2B">
      <w:pPr>
        <w:pStyle w:val="21"/>
        <w:numPr>
          <w:ilvl w:val="0"/>
          <w:numId w:val="0"/>
        </w:numPr>
        <w:ind w:left="288" w:leftChars="0" w:hanging="288" w:firstLineChars="0"/>
        <w:rPr>
          <w:color w:val="auto"/>
        </w:rPr>
      </w:pPr>
      <w:r>
        <w:rPr>
          <w:color w:val="auto"/>
        </w:rPr>
        <w:t>执行力：仲裁裁决可依据《纽约公约》在全球 160 多个国家和地区执行。</w:t>
      </w:r>
    </w:p>
    <w:p w14:paraId="3CB263F1">
      <w:pPr>
        <w:pStyle w:val="5"/>
        <w:ind w:left="0" w:leftChars="0"/>
        <w:outlineLvl w:val="2"/>
        <w:rPr>
          <w:color w:val="auto"/>
        </w:rPr>
      </w:pPr>
      <w:bookmarkStart w:id="112" w:name="_Toc28841"/>
      <w:r>
        <w:rPr>
          <w:color w:val="auto"/>
        </w:rPr>
        <w:t>9.3.2 跨境执法与维权</w:t>
      </w:r>
      <w:bookmarkEnd w:id="112"/>
    </w:p>
    <w:p w14:paraId="17C017AC">
      <w:pPr>
        <w:pStyle w:val="21"/>
        <w:numPr>
          <w:ilvl w:val="0"/>
          <w:numId w:val="48"/>
        </w:numPr>
        <w:rPr>
          <w:color w:val="auto"/>
        </w:rPr>
      </w:pPr>
      <w:r>
        <w:rPr>
          <w:color w:val="auto"/>
        </w:rPr>
        <w:t>国内维权：如海外侵权行为对国内企业造成影响，可在国内向法院提起诉讼，申请对侵权产品采取查封、扣押措施；</w:t>
      </w:r>
    </w:p>
    <w:p w14:paraId="54D1A090">
      <w:pPr>
        <w:pStyle w:val="21"/>
        <w:numPr>
          <w:ilvl w:val="0"/>
          <w:numId w:val="48"/>
        </w:numPr>
        <w:rPr>
          <w:color w:val="auto"/>
        </w:rPr>
      </w:pPr>
      <w:r>
        <w:rPr>
          <w:color w:val="auto"/>
        </w:rPr>
        <w:t>海外维权：如需要在海外维权，可委托当地律师事务所，了解当地诉讼程序与证据要求，提交维权材料（如商业秘密权属证据、侵权证据）；</w:t>
      </w:r>
    </w:p>
    <w:p w14:paraId="016A5450">
      <w:pPr>
        <w:pStyle w:val="21"/>
        <w:numPr>
          <w:ilvl w:val="0"/>
          <w:numId w:val="48"/>
        </w:numPr>
        <w:rPr>
          <w:color w:val="auto"/>
        </w:rPr>
      </w:pPr>
      <w:r>
        <w:rPr>
          <w:color w:val="auto"/>
        </w:rPr>
        <w:t>政府协助：如遭遇海外恶意侵权或歧视性对待，可向中国商务部、知识产权局寻求帮助，通过双边经贸谈判、知识产权海外维权援助机制维护权益。</w:t>
      </w:r>
    </w:p>
    <w:p w14:paraId="6546D0B9">
      <w:pPr>
        <w:pStyle w:val="3"/>
        <w:ind w:left="0" w:leftChars="0"/>
        <w:outlineLvl w:val="0"/>
        <w:rPr>
          <w:color w:val="auto"/>
        </w:rPr>
      </w:pPr>
      <w:bookmarkStart w:id="113" w:name="_Toc20595"/>
      <w:r>
        <w:rPr>
          <w:color w:val="auto"/>
        </w:rPr>
        <w:t>十、监督检查、评估及改进</w:t>
      </w:r>
      <w:bookmarkEnd w:id="113"/>
    </w:p>
    <w:p w14:paraId="084B1F2E">
      <w:pPr>
        <w:pStyle w:val="4"/>
        <w:ind w:left="0" w:leftChars="0"/>
        <w:outlineLvl w:val="1"/>
        <w:rPr>
          <w:color w:val="auto"/>
        </w:rPr>
      </w:pPr>
      <w:bookmarkStart w:id="114" w:name="_Toc23584"/>
      <w:r>
        <w:rPr>
          <w:color w:val="auto"/>
        </w:rPr>
        <w:t>10.1 监督检查</w:t>
      </w:r>
      <w:bookmarkEnd w:id="114"/>
    </w:p>
    <w:p w14:paraId="23D3EC2E">
      <w:pPr>
        <w:pStyle w:val="5"/>
        <w:ind w:left="0" w:leftChars="0"/>
        <w:outlineLvl w:val="2"/>
        <w:rPr>
          <w:color w:val="auto"/>
        </w:rPr>
      </w:pPr>
      <w:bookmarkStart w:id="115" w:name="_Toc19242"/>
      <w:r>
        <w:rPr>
          <w:color w:val="auto"/>
        </w:rPr>
        <w:t>10.1.1 日常检查</w:t>
      </w:r>
      <w:bookmarkEnd w:id="115"/>
    </w:p>
    <w:p w14:paraId="0295CA2F">
      <w:pPr>
        <w:pStyle w:val="21"/>
        <w:numPr>
          <w:ilvl w:val="0"/>
          <w:numId w:val="49"/>
        </w:numPr>
        <w:rPr>
          <w:color w:val="auto"/>
        </w:rPr>
      </w:pPr>
      <w:r>
        <w:rPr>
          <w:color w:val="auto"/>
        </w:rPr>
        <w:t>部门自查：各部门每周开展 1 次保密自查，重点检查涉密载体保管、涉密区域准入、员工保密行为，填写《部门保密自查表》，报保密管理部；</w:t>
      </w:r>
    </w:p>
    <w:p w14:paraId="7381BB9F">
      <w:pPr>
        <w:pStyle w:val="21"/>
        <w:numPr>
          <w:ilvl w:val="0"/>
          <w:numId w:val="49"/>
        </w:numPr>
        <w:rPr>
          <w:color w:val="auto"/>
        </w:rPr>
      </w:pPr>
      <w:r>
        <w:rPr>
          <w:color w:val="auto"/>
        </w:rPr>
        <w:t>专项检查：保密管理部每月开展 1 次专项检查，针对重点领域（如研发实验室、热处理车间）、重点环节（如涉密人员离职、涉外合作）进行检查，发现问题及时下达《整改通知书》，限期整改。</w:t>
      </w:r>
    </w:p>
    <w:p w14:paraId="56F9DD40">
      <w:pPr>
        <w:pStyle w:val="5"/>
        <w:ind w:left="0" w:leftChars="0"/>
        <w:outlineLvl w:val="2"/>
        <w:rPr>
          <w:color w:val="auto"/>
        </w:rPr>
      </w:pPr>
      <w:bookmarkStart w:id="116" w:name="_Toc20046"/>
      <w:r>
        <w:rPr>
          <w:color w:val="auto"/>
        </w:rPr>
        <w:t>10.1.2 定期检查</w:t>
      </w:r>
      <w:bookmarkEnd w:id="116"/>
    </w:p>
    <w:p w14:paraId="6E5FE89E">
      <w:pPr>
        <w:pStyle w:val="21"/>
        <w:numPr>
          <w:ilvl w:val="0"/>
          <w:numId w:val="50"/>
        </w:numPr>
        <w:rPr>
          <w:color w:val="auto"/>
        </w:rPr>
      </w:pPr>
      <w:r>
        <w:rPr>
          <w:color w:val="auto"/>
        </w:rPr>
        <w:t>季度检查：每季度由保密管理部联合研发、生产、销售等部门开展联合检查，检查内容包括：</w:t>
      </w:r>
    </w:p>
    <w:p w14:paraId="2B9920D1">
      <w:pPr>
        <w:pStyle w:val="21"/>
        <w:numPr>
          <w:ilvl w:val="1"/>
          <w:numId w:val="0"/>
        </w:numPr>
        <w:ind w:left="720" w:leftChars="0" w:hanging="288" w:firstLineChars="0"/>
        <w:rPr>
          <w:color w:val="auto"/>
        </w:rPr>
      </w:pPr>
      <w:r>
        <w:rPr>
          <w:color w:val="auto"/>
        </w:rPr>
        <w:t>制度落实：保密制度是否执行到位（如保密协议签订率、培训覆盖率）；</w:t>
      </w:r>
    </w:p>
    <w:p w14:paraId="21E93473">
      <w:pPr>
        <w:pStyle w:val="21"/>
        <w:numPr>
          <w:ilvl w:val="1"/>
          <w:numId w:val="0"/>
        </w:numPr>
        <w:ind w:left="720" w:leftChars="0" w:hanging="288" w:firstLineChars="0"/>
        <w:rPr>
          <w:color w:val="auto"/>
        </w:rPr>
      </w:pPr>
      <w:r>
        <w:rPr>
          <w:color w:val="auto"/>
        </w:rPr>
        <w:t>载体管理：涉密载体是否登记完整、存储安全；</w:t>
      </w:r>
    </w:p>
    <w:p w14:paraId="240BCDD5">
      <w:pPr>
        <w:pStyle w:val="21"/>
        <w:numPr>
          <w:ilvl w:val="1"/>
          <w:numId w:val="0"/>
        </w:numPr>
        <w:ind w:left="720" w:leftChars="0" w:hanging="288" w:firstLineChars="0"/>
        <w:rPr>
          <w:color w:val="auto"/>
        </w:rPr>
      </w:pPr>
      <w:r>
        <w:rPr>
          <w:color w:val="auto"/>
        </w:rPr>
        <w:t>区域管理：涉密区域门禁、监控是否正常运行；</w:t>
      </w:r>
    </w:p>
    <w:p w14:paraId="04EE896B">
      <w:pPr>
        <w:pStyle w:val="21"/>
        <w:numPr>
          <w:ilvl w:val="1"/>
          <w:numId w:val="0"/>
        </w:numPr>
        <w:ind w:left="720" w:leftChars="0" w:hanging="288" w:firstLineChars="0"/>
        <w:rPr>
          <w:color w:val="auto"/>
        </w:rPr>
      </w:pPr>
      <w:r>
        <w:rPr>
          <w:color w:val="auto"/>
        </w:rPr>
        <w:t>信息化安全：涉密计算机、服务器是否存在安全漏洞；</w:t>
      </w:r>
    </w:p>
    <w:p w14:paraId="25B4C5CF">
      <w:pPr>
        <w:pStyle w:val="21"/>
        <w:numPr>
          <w:ilvl w:val="0"/>
          <w:numId w:val="0"/>
        </w:numPr>
        <w:ind w:leftChars="0"/>
        <w:rPr>
          <w:color w:val="auto"/>
        </w:rPr>
      </w:pPr>
      <w:r>
        <w:rPr>
          <w:rFonts w:hint="eastAsia"/>
          <w:color w:val="auto"/>
          <w:lang w:val="en-US" w:eastAsia="zh-CN"/>
        </w:rPr>
        <w:t>2.</w:t>
      </w:r>
      <w:r>
        <w:rPr>
          <w:color w:val="auto"/>
        </w:rPr>
        <w:t>年度检查：每年年底由保密委员会组织年度检查，邀请外部专家参与，形成《年度商业秘密保护检查报告》，上报企业管理层。</w:t>
      </w:r>
    </w:p>
    <w:p w14:paraId="3C68228F">
      <w:pPr>
        <w:pStyle w:val="5"/>
        <w:ind w:left="0" w:leftChars="0"/>
        <w:outlineLvl w:val="2"/>
        <w:rPr>
          <w:color w:val="auto"/>
        </w:rPr>
      </w:pPr>
      <w:bookmarkStart w:id="117" w:name="_Toc200"/>
      <w:r>
        <w:rPr>
          <w:color w:val="auto"/>
        </w:rPr>
        <w:t>10.1.3 检查记录与整改</w:t>
      </w:r>
      <w:bookmarkEnd w:id="117"/>
    </w:p>
    <w:p w14:paraId="5D00B0AC">
      <w:pPr>
        <w:pStyle w:val="21"/>
        <w:numPr>
          <w:ilvl w:val="0"/>
          <w:numId w:val="51"/>
        </w:numPr>
        <w:rPr>
          <w:color w:val="auto"/>
        </w:rPr>
      </w:pPr>
      <w:r>
        <w:rPr>
          <w:color w:val="auto"/>
        </w:rPr>
        <w:t>检查记录：所有检查需留存记录，包括检查人员、时间、内容、发现问题、整改建议，记录存入保密档案；</w:t>
      </w:r>
    </w:p>
    <w:p w14:paraId="617E36CA">
      <w:pPr>
        <w:pStyle w:val="21"/>
        <w:numPr>
          <w:ilvl w:val="0"/>
          <w:numId w:val="51"/>
        </w:numPr>
        <w:rPr>
          <w:color w:val="auto"/>
        </w:rPr>
      </w:pPr>
      <w:r>
        <w:rPr>
          <w:color w:val="auto"/>
        </w:rPr>
        <w:t>整改跟踪：对检查发现的问题，建立《整改台账》，明确整改责任人、整改期限，保密管理部跟踪整改进度，整改完成后组织验收，确保问题闭环。</w:t>
      </w:r>
    </w:p>
    <w:p w14:paraId="02118947">
      <w:pPr>
        <w:pStyle w:val="4"/>
        <w:ind w:left="0" w:leftChars="0"/>
        <w:outlineLvl w:val="1"/>
        <w:rPr>
          <w:color w:val="auto"/>
        </w:rPr>
      </w:pPr>
      <w:bookmarkStart w:id="118" w:name="_Toc28569"/>
      <w:r>
        <w:rPr>
          <w:color w:val="auto"/>
        </w:rPr>
        <w:t>10.2 评估</w:t>
      </w:r>
      <w:bookmarkEnd w:id="118"/>
    </w:p>
    <w:p w14:paraId="235920FB">
      <w:pPr>
        <w:pStyle w:val="5"/>
        <w:ind w:left="0" w:leftChars="0"/>
        <w:outlineLvl w:val="2"/>
        <w:rPr>
          <w:color w:val="auto"/>
        </w:rPr>
      </w:pPr>
      <w:bookmarkStart w:id="119" w:name="_Toc8858"/>
      <w:r>
        <w:rPr>
          <w:color w:val="auto"/>
        </w:rPr>
        <w:t>10.2.1 定期评估</w:t>
      </w:r>
      <w:bookmarkEnd w:id="119"/>
    </w:p>
    <w:p w14:paraId="21E1283E">
      <w:pPr>
        <w:pStyle w:val="21"/>
        <w:numPr>
          <w:ilvl w:val="0"/>
          <w:numId w:val="52"/>
        </w:numPr>
        <w:rPr>
          <w:color w:val="auto"/>
        </w:rPr>
      </w:pPr>
      <w:r>
        <w:rPr>
          <w:color w:val="auto"/>
        </w:rPr>
        <w:t>年度评估：每年开展 1 次商业秘密保护体系评估，由保密委员会牵头，委托第三方机构或组织内部专家进行，评估内容包括：</w:t>
      </w:r>
    </w:p>
    <w:p w14:paraId="47CBD1F5">
      <w:pPr>
        <w:pStyle w:val="21"/>
        <w:numPr>
          <w:ilvl w:val="1"/>
          <w:numId w:val="0"/>
        </w:numPr>
        <w:ind w:left="720" w:leftChars="0" w:hanging="288" w:firstLineChars="0"/>
        <w:rPr>
          <w:color w:val="auto"/>
        </w:rPr>
      </w:pPr>
      <w:r>
        <w:rPr>
          <w:color w:val="auto"/>
        </w:rPr>
        <w:t>制度有效性：保密制度是否符合最新法律法规与产业发展需求；</w:t>
      </w:r>
    </w:p>
    <w:p w14:paraId="5C7F183D">
      <w:pPr>
        <w:pStyle w:val="21"/>
        <w:numPr>
          <w:ilvl w:val="1"/>
          <w:numId w:val="0"/>
        </w:numPr>
        <w:ind w:left="720" w:leftChars="0" w:hanging="288" w:firstLineChars="0"/>
        <w:rPr>
          <w:color w:val="auto"/>
        </w:rPr>
      </w:pPr>
      <w:r>
        <w:rPr>
          <w:color w:val="auto"/>
        </w:rPr>
        <w:t>措施落实性：保密措施（如涉密区域管理、信息化防护）是否有效落实；</w:t>
      </w:r>
    </w:p>
    <w:p w14:paraId="14B15A3F">
      <w:pPr>
        <w:pStyle w:val="21"/>
        <w:numPr>
          <w:ilvl w:val="1"/>
          <w:numId w:val="0"/>
        </w:numPr>
        <w:ind w:left="720" w:leftChars="0" w:hanging="288" w:firstLineChars="0"/>
        <w:rPr>
          <w:color w:val="auto"/>
        </w:rPr>
      </w:pPr>
      <w:r>
        <w:rPr>
          <w:color w:val="auto"/>
        </w:rPr>
        <w:t>风险可控性：商业秘密风险是否得到有效管控，泄密事件发生率是否降低；</w:t>
      </w:r>
    </w:p>
    <w:p w14:paraId="0EDCE395">
      <w:pPr>
        <w:pStyle w:val="21"/>
        <w:numPr>
          <w:ilvl w:val="1"/>
          <w:numId w:val="0"/>
        </w:numPr>
        <w:ind w:left="720" w:leftChars="0" w:hanging="288" w:firstLineChars="0"/>
        <w:rPr>
          <w:color w:val="auto"/>
        </w:rPr>
      </w:pPr>
      <w:r>
        <w:rPr>
          <w:color w:val="auto"/>
        </w:rPr>
        <w:t>员工意识：员工保密意识是否提升（如培训考核通过率、泄密事件举报率）；</w:t>
      </w:r>
    </w:p>
    <w:p w14:paraId="5417B129">
      <w:pPr>
        <w:pStyle w:val="21"/>
        <w:numPr>
          <w:ilvl w:val="0"/>
          <w:numId w:val="0"/>
        </w:numPr>
        <w:ind w:leftChars="0"/>
        <w:rPr>
          <w:color w:val="auto"/>
        </w:rPr>
      </w:pPr>
      <w:r>
        <w:rPr>
          <w:rFonts w:hint="eastAsia"/>
          <w:color w:val="auto"/>
          <w:lang w:val="en-US" w:eastAsia="zh-CN"/>
        </w:rPr>
        <w:t>2.</w:t>
      </w:r>
      <w:r>
        <w:rPr>
          <w:color w:val="auto"/>
        </w:rPr>
        <w:t>评估报告：形成《商业秘密保护体系年度评估报告》，分析存在的问题（如制度滞后、技术防护不足），提出改进建议。</w:t>
      </w:r>
    </w:p>
    <w:p w14:paraId="43EB42CC">
      <w:pPr>
        <w:pStyle w:val="5"/>
        <w:ind w:left="0" w:leftChars="0"/>
        <w:outlineLvl w:val="2"/>
        <w:rPr>
          <w:color w:val="auto"/>
        </w:rPr>
      </w:pPr>
      <w:bookmarkStart w:id="120" w:name="_Toc5291"/>
      <w:r>
        <w:rPr>
          <w:color w:val="auto"/>
        </w:rPr>
        <w:t>10.2.2 专项评估</w:t>
      </w:r>
      <w:bookmarkEnd w:id="120"/>
    </w:p>
    <w:p w14:paraId="34B1EDF7">
      <w:pPr>
        <w:pStyle w:val="21"/>
        <w:rPr>
          <w:color w:val="auto"/>
        </w:rPr>
      </w:pPr>
      <w:r>
        <w:rPr>
          <w:color w:val="auto"/>
        </w:rPr>
        <w:t>出现以下情况时，开展专项评估：</w:t>
      </w:r>
    </w:p>
    <w:p w14:paraId="4A3AA698">
      <w:pPr>
        <w:pStyle w:val="21"/>
        <w:numPr>
          <w:ilvl w:val="0"/>
          <w:numId w:val="0"/>
        </w:numPr>
        <w:ind w:left="288" w:leftChars="0" w:hanging="288" w:firstLineChars="0"/>
        <w:rPr>
          <w:color w:val="auto"/>
        </w:rPr>
      </w:pPr>
      <w:r>
        <w:rPr>
          <w:color w:val="auto"/>
        </w:rPr>
        <w:t>企业发生重大泄密事件后，评估泄密原因与体系漏洞；</w:t>
      </w:r>
    </w:p>
    <w:p w14:paraId="13B619FC">
      <w:pPr>
        <w:pStyle w:val="21"/>
        <w:numPr>
          <w:ilvl w:val="0"/>
          <w:numId w:val="0"/>
        </w:numPr>
        <w:ind w:left="288" w:leftChars="0" w:hanging="288" w:firstLineChars="0"/>
        <w:rPr>
          <w:color w:val="auto"/>
        </w:rPr>
      </w:pPr>
      <w:r>
        <w:rPr>
          <w:color w:val="auto"/>
        </w:rPr>
        <w:t>企业业务重大调整（如新增海外业务、并购重组）后，评估商业秘密保护需求变化；</w:t>
      </w:r>
    </w:p>
    <w:p w14:paraId="1E1512E0">
      <w:pPr>
        <w:pStyle w:val="21"/>
        <w:numPr>
          <w:ilvl w:val="0"/>
          <w:numId w:val="0"/>
        </w:numPr>
        <w:ind w:left="288" w:leftChars="0" w:hanging="288" w:firstLineChars="0"/>
        <w:rPr>
          <w:color w:val="auto"/>
        </w:rPr>
      </w:pPr>
      <w:r>
        <w:rPr>
          <w:color w:val="auto"/>
        </w:rPr>
        <w:t>相关法律法规更新（如《反不正当竞争法》修订）后，评估制度合规性；</w:t>
      </w:r>
    </w:p>
    <w:p w14:paraId="049F96C7">
      <w:pPr>
        <w:pStyle w:val="21"/>
        <w:rPr>
          <w:color w:val="auto"/>
        </w:rPr>
      </w:pPr>
      <w:r>
        <w:rPr>
          <w:color w:val="auto"/>
        </w:rPr>
        <w:t>专项评估由保密管理部组织，形成《专项评估报告》，报保密委员会审批后落实改进措施。</w:t>
      </w:r>
    </w:p>
    <w:p w14:paraId="304BCB96">
      <w:pPr>
        <w:pStyle w:val="4"/>
        <w:ind w:left="0" w:leftChars="0"/>
        <w:outlineLvl w:val="1"/>
        <w:rPr>
          <w:color w:val="auto"/>
        </w:rPr>
      </w:pPr>
      <w:bookmarkStart w:id="121" w:name="_Toc16618"/>
      <w:r>
        <w:rPr>
          <w:color w:val="auto"/>
        </w:rPr>
        <w:t>10.3 改进</w:t>
      </w:r>
      <w:bookmarkEnd w:id="121"/>
    </w:p>
    <w:p w14:paraId="341019FB">
      <w:pPr>
        <w:pStyle w:val="5"/>
        <w:ind w:left="0" w:leftChars="0"/>
        <w:outlineLvl w:val="2"/>
        <w:rPr>
          <w:color w:val="auto"/>
        </w:rPr>
      </w:pPr>
      <w:bookmarkStart w:id="122" w:name="_Toc2508"/>
      <w:r>
        <w:rPr>
          <w:color w:val="auto"/>
        </w:rPr>
        <w:t>10.3.1 改进计划制定</w:t>
      </w:r>
      <w:bookmarkEnd w:id="122"/>
    </w:p>
    <w:p w14:paraId="653FA052">
      <w:pPr>
        <w:pStyle w:val="21"/>
        <w:rPr>
          <w:color w:val="auto"/>
        </w:rPr>
      </w:pPr>
      <w:r>
        <w:rPr>
          <w:color w:val="auto"/>
        </w:rPr>
        <w:t>根据监督检查与评估结果，制定《商业秘密保护改进计划》，明确改进目标、措施、责任人、时间表：</w:t>
      </w:r>
    </w:p>
    <w:p w14:paraId="3D5F8CC5">
      <w:pPr>
        <w:pStyle w:val="21"/>
        <w:numPr>
          <w:ilvl w:val="0"/>
          <w:numId w:val="0"/>
        </w:numPr>
        <w:ind w:left="288" w:leftChars="0" w:hanging="288" w:firstLineChars="0"/>
        <w:rPr>
          <w:color w:val="auto"/>
        </w:rPr>
      </w:pPr>
      <w:r>
        <w:rPr>
          <w:color w:val="auto"/>
        </w:rPr>
        <w:t>目标：如 “202X 年将涉密人员培训覆盖率提升至 100%”“降低 50% 一般泄密事件发生率”；</w:t>
      </w:r>
    </w:p>
    <w:p w14:paraId="113DB8E0">
      <w:pPr>
        <w:pStyle w:val="21"/>
        <w:numPr>
          <w:ilvl w:val="0"/>
          <w:numId w:val="0"/>
        </w:numPr>
        <w:ind w:left="288" w:leftChars="0" w:hanging="288" w:firstLineChars="0"/>
        <w:rPr>
          <w:color w:val="auto"/>
        </w:rPr>
      </w:pPr>
      <w:r>
        <w:rPr>
          <w:color w:val="auto"/>
        </w:rPr>
        <w:t>措施：如修订保密制度、升级信息化防护系统、增加保密培训频次；</w:t>
      </w:r>
    </w:p>
    <w:p w14:paraId="54EEA267">
      <w:pPr>
        <w:pStyle w:val="21"/>
        <w:numPr>
          <w:ilvl w:val="0"/>
          <w:numId w:val="0"/>
        </w:numPr>
        <w:ind w:left="288" w:leftChars="0" w:hanging="288" w:firstLineChars="0"/>
        <w:rPr>
          <w:color w:val="auto"/>
        </w:rPr>
      </w:pPr>
      <w:r>
        <w:rPr>
          <w:color w:val="auto"/>
        </w:rPr>
        <w:t>责任人：明确每个改进措施的负责部门与人员；</w:t>
      </w:r>
    </w:p>
    <w:p w14:paraId="4882CDDC">
      <w:pPr>
        <w:pStyle w:val="21"/>
        <w:numPr>
          <w:ilvl w:val="0"/>
          <w:numId w:val="0"/>
        </w:numPr>
        <w:ind w:left="288" w:leftChars="0" w:hanging="288" w:firstLineChars="0"/>
        <w:rPr>
          <w:color w:val="auto"/>
        </w:rPr>
      </w:pPr>
      <w:r>
        <w:rPr>
          <w:color w:val="auto"/>
        </w:rPr>
        <w:t>时间表：设定改进任务的启动时间、完成时间，定期跟踪进度。</w:t>
      </w:r>
    </w:p>
    <w:p w14:paraId="3F701801">
      <w:pPr>
        <w:pStyle w:val="5"/>
        <w:ind w:left="0" w:leftChars="0"/>
        <w:outlineLvl w:val="2"/>
        <w:rPr>
          <w:color w:val="auto"/>
        </w:rPr>
      </w:pPr>
      <w:bookmarkStart w:id="123" w:name="_Toc1914"/>
      <w:r>
        <w:rPr>
          <w:color w:val="auto"/>
        </w:rPr>
        <w:t>10.3.2 改进措施落实</w:t>
      </w:r>
      <w:bookmarkEnd w:id="123"/>
    </w:p>
    <w:p w14:paraId="08CFE6EC">
      <w:pPr>
        <w:pStyle w:val="21"/>
        <w:numPr>
          <w:ilvl w:val="0"/>
          <w:numId w:val="53"/>
        </w:numPr>
        <w:rPr>
          <w:color w:val="auto"/>
        </w:rPr>
      </w:pPr>
      <w:r>
        <w:rPr>
          <w:color w:val="auto"/>
        </w:rPr>
        <w:t>制度改进：根据法律法规更新与评估建议，修订保密制度（如《涉密人员管理制度》《涉外商业秘密保护办法》），报保密委员会审批后发布实施；</w:t>
      </w:r>
    </w:p>
    <w:p w14:paraId="065CA90C">
      <w:pPr>
        <w:pStyle w:val="21"/>
        <w:numPr>
          <w:ilvl w:val="0"/>
          <w:numId w:val="53"/>
        </w:numPr>
        <w:rPr>
          <w:color w:val="auto"/>
        </w:rPr>
      </w:pPr>
      <w:r>
        <w:rPr>
          <w:color w:val="auto"/>
        </w:rPr>
        <w:t>技术改进：根据信息化安全评估结果，升级技术防护措施（如更换加密软件、增加服务器备份），确保技术防护与业务发展匹配；</w:t>
      </w:r>
    </w:p>
    <w:p w14:paraId="687832FA">
      <w:pPr>
        <w:pStyle w:val="21"/>
        <w:numPr>
          <w:ilvl w:val="0"/>
          <w:numId w:val="53"/>
        </w:numPr>
        <w:rPr>
          <w:color w:val="auto"/>
        </w:rPr>
      </w:pPr>
      <w:r>
        <w:rPr>
          <w:color w:val="auto"/>
        </w:rPr>
        <w:t>人员改进：加强涉密人员管理，如优化背景调查流程、增加保密培训内容、完善保密绩效考核；</w:t>
      </w:r>
    </w:p>
    <w:p w14:paraId="1481270C">
      <w:pPr>
        <w:pStyle w:val="21"/>
        <w:numPr>
          <w:ilvl w:val="0"/>
          <w:numId w:val="53"/>
        </w:numPr>
        <w:rPr>
          <w:color w:val="auto"/>
        </w:rPr>
      </w:pPr>
      <w:r>
        <w:rPr>
          <w:color w:val="auto"/>
        </w:rPr>
        <w:t>流程改进：优化商业秘密管理流程（如简化定密审批流程、完善泄密事件响应流程），提升管理效率。</w:t>
      </w:r>
    </w:p>
    <w:p w14:paraId="5AC34294">
      <w:pPr>
        <w:pStyle w:val="5"/>
        <w:ind w:left="0" w:leftChars="0"/>
        <w:outlineLvl w:val="2"/>
        <w:rPr>
          <w:color w:val="auto"/>
        </w:rPr>
      </w:pPr>
      <w:bookmarkStart w:id="124" w:name="_Toc482"/>
      <w:r>
        <w:rPr>
          <w:color w:val="auto"/>
        </w:rPr>
        <w:t>10.3.3 持续改进</w:t>
      </w:r>
      <w:bookmarkEnd w:id="124"/>
    </w:p>
    <w:p w14:paraId="5E9CC4B0">
      <w:pPr>
        <w:pStyle w:val="21"/>
        <w:rPr>
          <w:color w:val="auto"/>
        </w:rPr>
      </w:pPr>
      <w:r>
        <w:rPr>
          <w:color w:val="auto"/>
        </w:rPr>
        <w:t>建立 “检查 - 评估 - 改进 - 再检查” 的持续改进机制，每季度 review 改进计划落实情况，根据业务变化、技术发展、法律法规更新调整改进措施，确保商业秘密保护体系持续适应企业发展需求，不断提升保护能力。</w:t>
      </w:r>
    </w:p>
    <w:p w14:paraId="72C47AAB">
      <w:pPr>
        <w:pStyle w:val="3"/>
        <w:ind w:left="0" w:leftChars="0"/>
        <w:outlineLvl w:val="0"/>
        <w:rPr>
          <w:color w:val="auto"/>
        </w:rPr>
      </w:pPr>
      <w:bookmarkStart w:id="125" w:name="_Toc771"/>
      <w:r>
        <w:rPr>
          <w:color w:val="auto"/>
        </w:rPr>
        <w:t>十一、奖惩机制</w:t>
      </w:r>
      <w:bookmarkEnd w:id="125"/>
    </w:p>
    <w:p w14:paraId="2B437DB3">
      <w:pPr>
        <w:pStyle w:val="4"/>
        <w:ind w:left="0" w:leftChars="0"/>
        <w:outlineLvl w:val="1"/>
        <w:rPr>
          <w:color w:val="auto"/>
        </w:rPr>
      </w:pPr>
      <w:bookmarkStart w:id="126" w:name="_Toc3721"/>
      <w:r>
        <w:rPr>
          <w:color w:val="auto"/>
        </w:rPr>
        <w:t>11.1 奖励</w:t>
      </w:r>
      <w:bookmarkEnd w:id="126"/>
    </w:p>
    <w:p w14:paraId="5B8CBA47">
      <w:pPr>
        <w:pStyle w:val="21"/>
        <w:rPr>
          <w:rFonts w:hint="default" w:eastAsia="等线"/>
          <w:color w:val="auto"/>
          <w:lang w:val="en-US" w:eastAsia="zh-CN"/>
        </w:rPr>
      </w:pPr>
      <w:r>
        <w:rPr>
          <w:color w:val="auto"/>
        </w:rPr>
        <w:t>对在商业秘密保护工作中表现突出的部门或个人，企业给予表彰与奖励</w:t>
      </w:r>
      <w:r>
        <w:rPr>
          <w:rFonts w:hint="eastAsia"/>
          <w:color w:val="auto"/>
          <w:lang w:eastAsia="zh-CN"/>
        </w:rPr>
        <w:t>，</w:t>
      </w:r>
      <w:r>
        <w:rPr>
          <w:rFonts w:hint="eastAsia"/>
          <w:color w:val="auto"/>
          <w:lang w:val="en-US" w:eastAsia="zh-CN"/>
        </w:rPr>
        <w:t>奖励制度（包括但不限于现金奖励，奖励金额需符合企业发展规模与经营实际，以下金额仅为举例说明）</w:t>
      </w:r>
      <w:r>
        <w:rPr>
          <w:rFonts w:hint="eastAsia"/>
          <w:color w:val="auto"/>
          <w:lang w:val="en-US" w:eastAsia="zh-CN"/>
        </w:rPr>
        <w:t>：</w:t>
      </w:r>
    </w:p>
    <w:p w14:paraId="275A99AD">
      <w:pPr>
        <w:pStyle w:val="21"/>
        <w:numPr>
          <w:ilvl w:val="0"/>
          <w:numId w:val="0"/>
        </w:numPr>
        <w:ind w:left="288" w:leftChars="0" w:hanging="288" w:firstLineChars="0"/>
        <w:rPr>
          <w:color w:val="auto"/>
        </w:rPr>
      </w:pPr>
      <w:r>
        <w:rPr>
          <w:color w:val="auto"/>
        </w:rPr>
        <w:t>部门奖励：年度保密工作优秀部门，授予 “保密先进部门” 称号，奖励部门经费（如 1-5 万元）或集体荣誉；</w:t>
      </w:r>
    </w:p>
    <w:p w14:paraId="7D007435">
      <w:pPr>
        <w:pStyle w:val="21"/>
        <w:numPr>
          <w:ilvl w:val="0"/>
          <w:numId w:val="0"/>
        </w:numPr>
        <w:ind w:left="288" w:leftChars="0" w:hanging="288" w:firstLineChars="0"/>
        <w:rPr>
          <w:color w:val="auto"/>
        </w:rPr>
      </w:pPr>
      <w:r>
        <w:rPr>
          <w:color w:val="auto"/>
        </w:rPr>
        <w:t>个人奖励：</w:t>
      </w:r>
    </w:p>
    <w:p w14:paraId="48F33716">
      <w:pPr>
        <w:pStyle w:val="21"/>
        <w:numPr>
          <w:ilvl w:val="1"/>
          <w:numId w:val="54"/>
        </w:numPr>
        <w:rPr>
          <w:color w:val="auto"/>
        </w:rPr>
      </w:pPr>
      <w:r>
        <w:rPr>
          <w:color w:val="auto"/>
        </w:rPr>
        <w:t>保密标兵：对严格遵守保密制度、未发生泄密事件的涉密人员，给予现金奖励（如 500-2000 元）或荣誉证书；</w:t>
      </w:r>
    </w:p>
    <w:p w14:paraId="49EABB4E">
      <w:pPr>
        <w:pStyle w:val="21"/>
        <w:numPr>
          <w:ilvl w:val="1"/>
          <w:numId w:val="54"/>
        </w:numPr>
        <w:rPr>
          <w:color w:val="auto"/>
        </w:rPr>
      </w:pPr>
      <w:r>
        <w:rPr>
          <w:color w:val="auto"/>
        </w:rPr>
        <w:t>泄密举报奖励：对举报泄密行为经查证属实的员工，给予奖励（如举报一般泄密奖励 1000-3000 元，举报重大泄密奖励 5000-20000 元）；</w:t>
      </w:r>
    </w:p>
    <w:p w14:paraId="4C7ACBD2">
      <w:pPr>
        <w:pStyle w:val="21"/>
        <w:numPr>
          <w:ilvl w:val="1"/>
          <w:numId w:val="54"/>
        </w:numPr>
        <w:rPr>
          <w:color w:val="auto"/>
        </w:rPr>
      </w:pPr>
      <w:r>
        <w:rPr>
          <w:color w:val="auto"/>
        </w:rPr>
        <w:t>改进建议奖励：对提出商业秘密保护改进建议并被采纳的员工，给予现金奖励（如 300-1000 元）或晋升加分。</w:t>
      </w:r>
    </w:p>
    <w:p w14:paraId="4F679549">
      <w:pPr>
        <w:pStyle w:val="4"/>
        <w:ind w:left="0" w:leftChars="0"/>
        <w:outlineLvl w:val="1"/>
        <w:rPr>
          <w:color w:val="auto"/>
        </w:rPr>
      </w:pPr>
      <w:bookmarkStart w:id="127" w:name="_Toc24423"/>
      <w:r>
        <w:rPr>
          <w:color w:val="auto"/>
        </w:rPr>
        <w:t>11.2 处罚</w:t>
      </w:r>
      <w:bookmarkEnd w:id="127"/>
    </w:p>
    <w:p w14:paraId="55DFFA4C">
      <w:pPr>
        <w:pStyle w:val="21"/>
        <w:rPr>
          <w:color w:val="auto"/>
        </w:rPr>
      </w:pPr>
      <w:r>
        <w:rPr>
          <w:color w:val="auto"/>
        </w:rPr>
        <w:t>对违反商业秘密保护制度的部门或个人，企业根据情节轻重给予处罚：</w:t>
      </w:r>
    </w:p>
    <w:p w14:paraId="57C61AFA">
      <w:pPr>
        <w:pStyle w:val="21"/>
        <w:numPr>
          <w:ilvl w:val="0"/>
          <w:numId w:val="0"/>
        </w:numPr>
        <w:ind w:left="288" w:leftChars="0" w:hanging="288" w:firstLineChars="0"/>
        <w:rPr>
          <w:color w:val="auto"/>
        </w:rPr>
      </w:pPr>
      <w:r>
        <w:rPr>
          <w:color w:val="auto"/>
        </w:rPr>
        <w:t>部门处罚：</w:t>
      </w:r>
    </w:p>
    <w:p w14:paraId="0A44A300">
      <w:pPr>
        <w:pStyle w:val="21"/>
        <w:numPr>
          <w:ilvl w:val="1"/>
          <w:numId w:val="55"/>
        </w:numPr>
        <w:rPr>
          <w:color w:val="auto"/>
        </w:rPr>
      </w:pPr>
      <w:r>
        <w:rPr>
          <w:color w:val="auto"/>
        </w:rPr>
        <w:t>发生一般泄密事件的部门，扣减部门年度绩效分数（如扣 5-10 分）；</w:t>
      </w:r>
    </w:p>
    <w:p w14:paraId="458FE175">
      <w:pPr>
        <w:pStyle w:val="21"/>
        <w:numPr>
          <w:ilvl w:val="1"/>
          <w:numId w:val="55"/>
        </w:numPr>
        <w:rPr>
          <w:color w:val="auto"/>
        </w:rPr>
      </w:pPr>
      <w:r>
        <w:rPr>
          <w:color w:val="auto"/>
        </w:rPr>
        <w:t>发生较大或重大泄密事件的部门，取消年度评优资格，扣减部门负责人绩效奖金（如扣 10%-30%）；</w:t>
      </w:r>
    </w:p>
    <w:p w14:paraId="63DE5F56">
      <w:pPr>
        <w:pStyle w:val="21"/>
        <w:numPr>
          <w:ilvl w:val="0"/>
          <w:numId w:val="0"/>
        </w:numPr>
        <w:ind w:left="288" w:leftChars="0" w:hanging="288" w:firstLineChars="0"/>
        <w:rPr>
          <w:color w:val="auto"/>
        </w:rPr>
      </w:pPr>
      <w:r>
        <w:rPr>
          <w:color w:val="auto"/>
        </w:rPr>
        <w:t>个人处罚：</w:t>
      </w:r>
    </w:p>
    <w:p w14:paraId="47BCB279">
      <w:pPr>
        <w:pStyle w:val="21"/>
        <w:numPr>
          <w:ilvl w:val="1"/>
          <w:numId w:val="56"/>
        </w:numPr>
        <w:rPr>
          <w:color w:val="auto"/>
        </w:rPr>
      </w:pPr>
      <w:r>
        <w:rPr>
          <w:color w:val="auto"/>
        </w:rPr>
        <w:t>轻微违规（如未按规定存放涉密文件）：给予警告，扣减绩效奖金（如扣 100-500 元）；</w:t>
      </w:r>
    </w:p>
    <w:p w14:paraId="6A0BAAD2">
      <w:pPr>
        <w:pStyle w:val="21"/>
        <w:numPr>
          <w:ilvl w:val="1"/>
          <w:numId w:val="56"/>
        </w:numPr>
        <w:rPr>
          <w:color w:val="auto"/>
        </w:rPr>
      </w:pPr>
      <w:r>
        <w:rPr>
          <w:color w:val="auto"/>
        </w:rPr>
        <w:t>一般泄密：给予记过，扣减绩效奖金（如扣 500-2000 元），取消年度评优资格；</w:t>
      </w:r>
    </w:p>
    <w:p w14:paraId="3C7BDC5C">
      <w:pPr>
        <w:pStyle w:val="21"/>
        <w:numPr>
          <w:ilvl w:val="1"/>
          <w:numId w:val="56"/>
        </w:numPr>
        <w:rPr>
          <w:color w:val="auto"/>
        </w:rPr>
      </w:pPr>
      <w:r>
        <w:rPr>
          <w:color w:val="auto"/>
        </w:rPr>
        <w:t>较大泄密：给予降职或调岗，扣减绩效奖金（如扣 2000-5000 元）；</w:t>
      </w:r>
    </w:p>
    <w:p w14:paraId="685490D8">
      <w:pPr>
        <w:pStyle w:val="21"/>
        <w:numPr>
          <w:ilvl w:val="1"/>
          <w:numId w:val="56"/>
        </w:numPr>
        <w:rPr>
          <w:color w:val="auto"/>
        </w:rPr>
      </w:pPr>
      <w:r>
        <w:rPr>
          <w:color w:val="auto"/>
        </w:rPr>
        <w:t>重大泄密：解除劳动合同，要求赔偿经济损失（根据损失金额确定）；构成犯罪的，移交司法机关追究刑事责任；</w:t>
      </w:r>
    </w:p>
    <w:p w14:paraId="60095B50">
      <w:pPr>
        <w:pStyle w:val="21"/>
        <w:numPr>
          <w:ilvl w:val="1"/>
          <w:numId w:val="56"/>
        </w:numPr>
        <w:rPr>
          <w:color w:val="auto"/>
        </w:rPr>
      </w:pPr>
      <w:r>
        <w:rPr>
          <w:color w:val="auto"/>
        </w:rPr>
        <w:t>外部人员违规：如合作方、参观人员违反保密协议，追究其违约责任（如要求支付违约金、赔偿损失），终止合作关系。</w:t>
      </w:r>
    </w:p>
    <w:p w14:paraId="3B7CF5B7">
      <w:pPr>
        <w:pStyle w:val="3"/>
        <w:ind w:left="0" w:leftChars="0"/>
        <w:outlineLvl w:val="0"/>
        <w:rPr>
          <w:color w:val="auto"/>
        </w:rPr>
      </w:pPr>
      <w:bookmarkStart w:id="128" w:name="_Toc29163"/>
      <w:r>
        <w:rPr>
          <w:color w:val="auto"/>
        </w:rPr>
        <w:t>十二、附录</w:t>
      </w:r>
      <w:bookmarkEnd w:id="128"/>
    </w:p>
    <w:p w14:paraId="4A2ACBFA">
      <w:pPr>
        <w:pStyle w:val="4"/>
        <w:ind w:left="0" w:leftChars="0"/>
        <w:outlineLvl w:val="0"/>
        <w:rPr>
          <w:color w:val="auto"/>
        </w:rPr>
      </w:pPr>
      <w:bookmarkStart w:id="129" w:name="_Toc19640"/>
      <w:r>
        <w:rPr>
          <w:color w:val="auto"/>
        </w:rPr>
        <w:t>附录一 引用法律文件</w:t>
      </w:r>
      <w:bookmarkEnd w:id="129"/>
    </w:p>
    <w:p w14:paraId="2BE51682">
      <w:pPr>
        <w:pStyle w:val="21"/>
        <w:numPr>
          <w:ilvl w:val="0"/>
          <w:numId w:val="57"/>
        </w:numPr>
        <w:rPr>
          <w:color w:val="auto"/>
        </w:rPr>
      </w:pPr>
      <w:r>
        <w:rPr>
          <w:color w:val="auto"/>
        </w:rPr>
        <w:t>《中华人民共和国反不正当竞争法》（2022 年修订）</w:t>
      </w:r>
    </w:p>
    <w:p w14:paraId="5463E429">
      <w:pPr>
        <w:pStyle w:val="21"/>
        <w:numPr>
          <w:ilvl w:val="0"/>
          <w:numId w:val="57"/>
        </w:numPr>
        <w:rPr>
          <w:color w:val="auto"/>
        </w:rPr>
      </w:pPr>
      <w:r>
        <w:rPr>
          <w:color w:val="auto"/>
        </w:rPr>
        <w:t>《中华人民共和国劳动合同法》（2012 年修订）</w:t>
      </w:r>
    </w:p>
    <w:p w14:paraId="115751BE">
      <w:pPr>
        <w:pStyle w:val="21"/>
        <w:numPr>
          <w:ilvl w:val="0"/>
          <w:numId w:val="57"/>
        </w:numPr>
        <w:rPr>
          <w:color w:val="auto"/>
        </w:rPr>
      </w:pPr>
      <w:r>
        <w:rPr>
          <w:color w:val="auto"/>
        </w:rPr>
        <w:t>《中华人民共和国刑法》（2020 年修订）</w:t>
      </w:r>
    </w:p>
    <w:p w14:paraId="7B2780EB">
      <w:pPr>
        <w:pStyle w:val="21"/>
        <w:numPr>
          <w:ilvl w:val="0"/>
          <w:numId w:val="57"/>
        </w:numPr>
        <w:rPr>
          <w:color w:val="auto"/>
        </w:rPr>
      </w:pPr>
      <w:r>
        <w:rPr>
          <w:color w:val="auto"/>
        </w:rPr>
        <w:t>《中华人民共和国民法典》（2020 年颁布）</w:t>
      </w:r>
    </w:p>
    <w:p w14:paraId="2D349447">
      <w:pPr>
        <w:pStyle w:val="21"/>
        <w:numPr>
          <w:ilvl w:val="0"/>
          <w:numId w:val="57"/>
        </w:numPr>
        <w:rPr>
          <w:color w:val="auto"/>
        </w:rPr>
      </w:pPr>
      <w:r>
        <w:rPr>
          <w:color w:val="auto"/>
        </w:rPr>
        <w:t>《最高人民法院关于审理侵犯商业秘密民事案件适用法律若干问题的规定》（法释〔2020〕7 号）</w:t>
      </w:r>
    </w:p>
    <w:p w14:paraId="688C19AF">
      <w:pPr>
        <w:pStyle w:val="21"/>
        <w:numPr>
          <w:ilvl w:val="0"/>
          <w:numId w:val="57"/>
        </w:numPr>
        <w:rPr>
          <w:color w:val="auto"/>
        </w:rPr>
      </w:pPr>
      <w:r>
        <w:rPr>
          <w:color w:val="auto"/>
        </w:rPr>
        <w:t>《最高人民法院、最高人民检察院关于办理侵犯知识产权刑事案件具体应用法律若干问题的解释（三）》（法释〔2020〕10 号）</w:t>
      </w:r>
    </w:p>
    <w:p w14:paraId="39BE71A3">
      <w:pPr>
        <w:pStyle w:val="21"/>
        <w:numPr>
          <w:ilvl w:val="0"/>
          <w:numId w:val="57"/>
        </w:numPr>
        <w:rPr>
          <w:color w:val="auto"/>
        </w:rPr>
      </w:pPr>
      <w:r>
        <w:rPr>
          <w:color w:val="auto"/>
        </w:rPr>
        <w:t>《山东省化工行业商业秘密保护工作指南（试行）》</w:t>
      </w:r>
    </w:p>
    <w:p w14:paraId="3796BF38">
      <w:pPr>
        <w:pStyle w:val="21"/>
        <w:numPr>
          <w:ilvl w:val="0"/>
          <w:numId w:val="57"/>
        </w:numPr>
        <w:rPr>
          <w:color w:val="auto"/>
        </w:rPr>
      </w:pPr>
      <w:r>
        <w:rPr>
          <w:color w:val="auto"/>
        </w:rPr>
        <w:t>《聊城市商业秘密保护管理和服务规范》（DB3715/T XXXX—2023）</w:t>
      </w:r>
    </w:p>
    <w:p w14:paraId="6814738A">
      <w:pPr>
        <w:pStyle w:val="4"/>
        <w:ind w:left="0" w:leftChars="0"/>
        <w:outlineLvl w:val="9"/>
        <w:rPr>
          <w:color w:val="auto"/>
        </w:rPr>
      </w:pPr>
      <w:bookmarkStart w:id="130" w:name="_Toc24628"/>
    </w:p>
    <w:p w14:paraId="138769EB">
      <w:pPr>
        <w:pStyle w:val="4"/>
        <w:ind w:left="0" w:leftChars="0"/>
        <w:outlineLvl w:val="9"/>
        <w:rPr>
          <w:color w:val="auto"/>
        </w:rPr>
      </w:pPr>
    </w:p>
    <w:p w14:paraId="6E6F015A">
      <w:pPr>
        <w:pStyle w:val="4"/>
        <w:ind w:left="0" w:leftChars="0"/>
        <w:outlineLvl w:val="9"/>
        <w:rPr>
          <w:color w:val="auto"/>
        </w:rPr>
      </w:pPr>
    </w:p>
    <w:p w14:paraId="464856AF">
      <w:pPr>
        <w:pStyle w:val="4"/>
        <w:ind w:left="0" w:leftChars="0"/>
        <w:outlineLvl w:val="9"/>
        <w:rPr>
          <w:color w:val="auto"/>
        </w:rPr>
      </w:pPr>
    </w:p>
    <w:p w14:paraId="7E39B5BC">
      <w:pPr>
        <w:pStyle w:val="4"/>
        <w:ind w:left="0" w:leftChars="0"/>
        <w:outlineLvl w:val="9"/>
        <w:rPr>
          <w:color w:val="auto"/>
        </w:rPr>
      </w:pPr>
    </w:p>
    <w:p w14:paraId="7A10D4C7">
      <w:pPr>
        <w:pStyle w:val="4"/>
        <w:ind w:left="0" w:leftChars="0"/>
        <w:outlineLvl w:val="9"/>
        <w:rPr>
          <w:color w:val="auto"/>
        </w:rPr>
      </w:pPr>
    </w:p>
    <w:p w14:paraId="16D848AF">
      <w:pPr>
        <w:pStyle w:val="4"/>
        <w:ind w:left="0" w:leftChars="0"/>
        <w:outlineLvl w:val="9"/>
        <w:rPr>
          <w:color w:val="auto"/>
        </w:rPr>
      </w:pPr>
    </w:p>
    <w:p w14:paraId="233096D9">
      <w:pPr>
        <w:pStyle w:val="4"/>
        <w:ind w:left="0" w:leftChars="0"/>
        <w:outlineLvl w:val="9"/>
        <w:rPr>
          <w:color w:val="auto"/>
        </w:rPr>
      </w:pPr>
    </w:p>
    <w:p w14:paraId="7BC7DD05">
      <w:pPr>
        <w:pStyle w:val="4"/>
        <w:ind w:left="0" w:leftChars="0"/>
        <w:outlineLvl w:val="9"/>
        <w:rPr>
          <w:color w:val="auto"/>
        </w:rPr>
      </w:pPr>
    </w:p>
    <w:p w14:paraId="080D249D">
      <w:pPr>
        <w:pStyle w:val="4"/>
        <w:ind w:left="0" w:leftChars="0"/>
        <w:outlineLvl w:val="9"/>
        <w:rPr>
          <w:color w:val="auto"/>
        </w:rPr>
      </w:pPr>
    </w:p>
    <w:p w14:paraId="7B9A5FEE">
      <w:pPr>
        <w:pStyle w:val="4"/>
        <w:ind w:left="0" w:leftChars="0"/>
        <w:outlineLvl w:val="9"/>
        <w:rPr>
          <w:color w:val="auto"/>
        </w:rPr>
      </w:pPr>
    </w:p>
    <w:p w14:paraId="3B71AE52">
      <w:pPr>
        <w:pStyle w:val="4"/>
        <w:ind w:left="0" w:leftChars="0"/>
        <w:outlineLvl w:val="0"/>
        <w:rPr>
          <w:color w:val="auto"/>
        </w:rPr>
      </w:pPr>
      <w:r>
        <w:rPr>
          <w:color w:val="auto"/>
        </w:rPr>
        <w:t>附录二 商业秘密保护组织体系架构图</w:t>
      </w:r>
      <w:bookmarkEnd w:id="130"/>
    </w:p>
    <w:p w14:paraId="41EA5190">
      <w:pPr>
        <w:pStyle w:val="21"/>
        <w:rPr>
          <w:color w:val="auto"/>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9266"/>
      </w:tblGrid>
      <w:tr w14:paraId="2F750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571" w:hRule="atLeast"/>
        </w:trPr>
        <w:tc>
          <w:tcPr>
            <w:tcW w:w="5000" w:type="pct"/>
            <w:tcBorders>
              <w:top w:val="single" w:color="DEE0E3" w:sz="0" w:space="0"/>
              <w:left w:val="single" w:color="DEE0E3" w:sz="0" w:space="0"/>
              <w:bottom w:val="single" w:color="DEE0E3" w:sz="0" w:space="0"/>
              <w:right w:val="single" w:color="DEE0E3" w:sz="0" w:space="0"/>
            </w:tcBorders>
            <w:shd w:val="clear" w:color="auto" w:fill="F5F6F7"/>
            <w:tcMar>
              <w:top w:w="60" w:type="dxa"/>
              <w:left w:w="120" w:type="dxa"/>
              <w:bottom w:w="30" w:type="dxa"/>
              <w:right w:w="120" w:type="dxa"/>
            </w:tcMar>
          </w:tcPr>
          <w:p w14:paraId="1B6ECA2B">
            <w:pPr>
              <w:pStyle w:val="21"/>
              <w:jc w:val="center"/>
              <w:rPr>
                <w:color w:val="auto"/>
              </w:rPr>
            </w:pPr>
            <w:r>
              <w:rPr>
                <w:color w:val="auto"/>
              </w:rPr>
              <w:drawing>
                <wp:inline distT="0" distB="0" distL="114300" distR="114300">
                  <wp:extent cx="5723890" cy="3348990"/>
                  <wp:effectExtent l="0" t="0" r="10160" b="381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5"/>
                          <a:stretch>
                            <a:fillRect/>
                          </a:stretch>
                        </pic:blipFill>
                        <pic:spPr>
                          <a:xfrm>
                            <a:off x="0" y="0"/>
                            <a:ext cx="5723890" cy="3348990"/>
                          </a:xfrm>
                          <a:prstGeom prst="rect">
                            <a:avLst/>
                          </a:prstGeom>
                          <a:noFill/>
                          <a:ln>
                            <a:noFill/>
                          </a:ln>
                        </pic:spPr>
                      </pic:pic>
                    </a:graphicData>
                  </a:graphic>
                </wp:inline>
              </w:drawing>
            </w:r>
          </w:p>
        </w:tc>
      </w:tr>
    </w:tbl>
    <w:p w14:paraId="4F6A649D">
      <w:pPr>
        <w:pStyle w:val="4"/>
        <w:ind w:left="0" w:leftChars="0"/>
        <w:outlineLvl w:val="9"/>
        <w:rPr>
          <w:color w:val="auto"/>
        </w:rPr>
      </w:pPr>
      <w:bookmarkStart w:id="131" w:name="_Toc26953"/>
    </w:p>
    <w:p w14:paraId="7716F06C">
      <w:pPr>
        <w:pStyle w:val="4"/>
        <w:ind w:left="0" w:leftChars="0"/>
        <w:outlineLvl w:val="9"/>
        <w:rPr>
          <w:color w:val="auto"/>
        </w:rPr>
      </w:pPr>
    </w:p>
    <w:p w14:paraId="1AFB7160">
      <w:pPr>
        <w:rPr>
          <w:color w:val="auto"/>
        </w:rPr>
      </w:pPr>
    </w:p>
    <w:p w14:paraId="1E8D1217">
      <w:pPr>
        <w:rPr>
          <w:color w:val="auto"/>
        </w:rPr>
      </w:pPr>
    </w:p>
    <w:p w14:paraId="3FB47CE4">
      <w:pPr>
        <w:rPr>
          <w:color w:val="auto"/>
        </w:rPr>
      </w:pPr>
    </w:p>
    <w:p w14:paraId="37982591">
      <w:pPr>
        <w:rPr>
          <w:color w:val="auto"/>
        </w:rPr>
      </w:pPr>
    </w:p>
    <w:p w14:paraId="3EDEC3B1">
      <w:pPr>
        <w:rPr>
          <w:color w:val="auto"/>
        </w:rPr>
      </w:pPr>
    </w:p>
    <w:p w14:paraId="3CBE82F0">
      <w:pPr>
        <w:rPr>
          <w:color w:val="auto"/>
        </w:rPr>
      </w:pPr>
    </w:p>
    <w:p w14:paraId="4AB82D25">
      <w:pPr>
        <w:rPr>
          <w:color w:val="auto"/>
        </w:rPr>
      </w:pPr>
    </w:p>
    <w:p w14:paraId="27430AD2">
      <w:pPr>
        <w:rPr>
          <w:color w:val="auto"/>
        </w:rPr>
      </w:pPr>
    </w:p>
    <w:p w14:paraId="76979591">
      <w:pPr>
        <w:rPr>
          <w:color w:val="auto"/>
        </w:rPr>
      </w:pPr>
    </w:p>
    <w:p w14:paraId="2103612B">
      <w:pPr>
        <w:rPr>
          <w:color w:val="auto"/>
        </w:rPr>
      </w:pPr>
    </w:p>
    <w:p w14:paraId="4EBBB11B">
      <w:pPr>
        <w:rPr>
          <w:color w:val="auto"/>
        </w:rPr>
      </w:pPr>
    </w:p>
    <w:p w14:paraId="33F93E2E">
      <w:pPr>
        <w:rPr>
          <w:color w:val="auto"/>
        </w:rPr>
      </w:pPr>
    </w:p>
    <w:p w14:paraId="66ADB70D">
      <w:pPr>
        <w:rPr>
          <w:color w:val="auto"/>
        </w:rPr>
      </w:pPr>
    </w:p>
    <w:p w14:paraId="1B920C9F">
      <w:pPr>
        <w:rPr>
          <w:color w:val="auto"/>
        </w:rPr>
      </w:pPr>
    </w:p>
    <w:p w14:paraId="66C381F1">
      <w:pPr>
        <w:rPr>
          <w:color w:val="auto"/>
        </w:rPr>
      </w:pPr>
    </w:p>
    <w:p w14:paraId="11094FE9">
      <w:pPr>
        <w:rPr>
          <w:color w:val="auto"/>
        </w:rPr>
      </w:pPr>
    </w:p>
    <w:p w14:paraId="1225561E">
      <w:pPr>
        <w:rPr>
          <w:color w:val="auto"/>
        </w:rPr>
      </w:pPr>
    </w:p>
    <w:p w14:paraId="7E82CF33">
      <w:pPr>
        <w:rPr>
          <w:color w:val="auto"/>
        </w:rPr>
      </w:pPr>
    </w:p>
    <w:p w14:paraId="67EB4896">
      <w:pPr>
        <w:rPr>
          <w:color w:val="auto"/>
        </w:rPr>
      </w:pPr>
    </w:p>
    <w:p w14:paraId="229686A2">
      <w:pPr>
        <w:pStyle w:val="4"/>
        <w:ind w:left="0" w:leftChars="0"/>
        <w:outlineLvl w:val="0"/>
        <w:rPr>
          <w:color w:val="auto"/>
        </w:rPr>
      </w:pPr>
      <w:r>
        <w:rPr>
          <w:color w:val="auto"/>
        </w:rPr>
        <w:t>附录三 轴承产业链商业秘密重点保密事项指引</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1430"/>
        <w:gridCol w:w="1430"/>
        <w:gridCol w:w="1699"/>
        <w:gridCol w:w="1430"/>
        <w:gridCol w:w="1720"/>
        <w:gridCol w:w="1557"/>
      </w:tblGrid>
      <w:tr w14:paraId="575C5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8D80954">
            <w:pPr>
              <w:pStyle w:val="21"/>
              <w:rPr>
                <w:color w:val="auto"/>
              </w:rPr>
            </w:pPr>
            <w:r>
              <w:rPr>
                <w:color w:val="auto"/>
              </w:rPr>
              <w:t>类别</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C8B1169">
            <w:pPr>
              <w:pStyle w:val="21"/>
              <w:rPr>
                <w:color w:val="auto"/>
              </w:rPr>
            </w:pPr>
            <w:r>
              <w:rPr>
                <w:color w:val="auto"/>
              </w:rPr>
              <w:t>一级事项</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7DA3A5AF">
            <w:pPr>
              <w:pStyle w:val="21"/>
              <w:rPr>
                <w:color w:val="auto"/>
              </w:rPr>
            </w:pPr>
            <w:r>
              <w:rPr>
                <w:color w:val="auto"/>
              </w:rPr>
              <w:t>二级事项</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55C5819D">
            <w:pPr>
              <w:pStyle w:val="21"/>
              <w:rPr>
                <w:color w:val="auto"/>
              </w:rPr>
            </w:pPr>
            <w:r>
              <w:rPr>
                <w:color w:val="auto"/>
              </w:rPr>
              <w:t>密级</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6D35478D">
            <w:pPr>
              <w:pStyle w:val="21"/>
              <w:rPr>
                <w:color w:val="auto"/>
              </w:rPr>
            </w:pPr>
            <w:r>
              <w:rPr>
                <w:color w:val="auto"/>
              </w:rPr>
              <w:t>载体形式</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D1750D7">
            <w:pPr>
              <w:pStyle w:val="21"/>
              <w:rPr>
                <w:color w:val="auto"/>
              </w:rPr>
            </w:pPr>
            <w:r>
              <w:rPr>
                <w:color w:val="auto"/>
              </w:rPr>
              <w:t>知悉范围</w:t>
            </w:r>
          </w:p>
        </w:tc>
      </w:tr>
      <w:tr w14:paraId="6862D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1AA13B40">
            <w:pPr>
              <w:pStyle w:val="21"/>
              <w:rPr>
                <w:color w:val="auto"/>
              </w:rPr>
            </w:pPr>
            <w:r>
              <w:rPr>
                <w:color w:val="auto"/>
              </w:rPr>
              <w:t>技术信息</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614F957C">
            <w:pPr>
              <w:pStyle w:val="21"/>
              <w:rPr>
                <w:color w:val="auto"/>
              </w:rPr>
            </w:pPr>
            <w:r>
              <w:rPr>
                <w:color w:val="auto"/>
              </w:rPr>
              <w:t>产品设计</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D49E420">
            <w:pPr>
              <w:pStyle w:val="21"/>
              <w:rPr>
                <w:color w:val="auto"/>
              </w:rPr>
            </w:pPr>
            <w:r>
              <w:rPr>
                <w:color w:val="auto"/>
              </w:rPr>
              <w:t>轴承结构设计图纸（CAD 三维模型）</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1925AA6F">
            <w:pPr>
              <w:pStyle w:val="21"/>
              <w:rPr>
                <w:color w:val="auto"/>
              </w:rPr>
            </w:pPr>
            <w:r>
              <w:rPr>
                <w:color w:val="auto"/>
              </w:rPr>
              <w:t>核心秘密</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C335A92">
            <w:pPr>
              <w:pStyle w:val="21"/>
              <w:rPr>
                <w:color w:val="auto"/>
              </w:rPr>
            </w:pPr>
            <w:r>
              <w:rPr>
                <w:color w:val="auto"/>
              </w:rPr>
              <w:t>电子文档、纸质图纸</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1AD42AB3">
            <w:pPr>
              <w:pStyle w:val="21"/>
              <w:rPr>
                <w:color w:val="auto"/>
              </w:rPr>
            </w:pPr>
            <w:r>
              <w:rPr>
                <w:color w:val="auto"/>
              </w:rPr>
              <w:t>研发工程师、技术总监</w:t>
            </w:r>
          </w:p>
        </w:tc>
      </w:tr>
      <w:tr w14:paraId="730E0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128F2910">
            <w:pPr>
              <w:pStyle w:val="21"/>
              <w:rPr>
                <w:color w:val="auto"/>
              </w:rPr>
            </w:pP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25D411BD">
            <w:pPr>
              <w:pStyle w:val="21"/>
              <w:rPr>
                <w:color w:val="auto"/>
              </w:rPr>
            </w:pP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6356B1F5">
            <w:pPr>
              <w:pStyle w:val="21"/>
              <w:rPr>
                <w:color w:val="auto"/>
              </w:rPr>
            </w:pPr>
            <w:r>
              <w:rPr>
                <w:color w:val="auto"/>
              </w:rPr>
              <w:t>公差配合参数、密封与润滑方案</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22A2E17B">
            <w:pPr>
              <w:pStyle w:val="21"/>
              <w:rPr>
                <w:color w:val="auto"/>
              </w:rPr>
            </w:pPr>
            <w:r>
              <w:rPr>
                <w:color w:val="auto"/>
              </w:rPr>
              <w:t>重要秘密</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74A0F09B">
            <w:pPr>
              <w:pStyle w:val="21"/>
              <w:rPr>
                <w:color w:val="auto"/>
              </w:rPr>
            </w:pPr>
            <w:r>
              <w:rPr>
                <w:color w:val="auto"/>
              </w:rPr>
              <w:t>电子文档、纸质文件</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3C16ACDA">
            <w:pPr>
              <w:pStyle w:val="21"/>
              <w:rPr>
                <w:color w:val="auto"/>
              </w:rPr>
            </w:pPr>
            <w:r>
              <w:rPr>
                <w:color w:val="auto"/>
              </w:rPr>
              <w:t>研发工程师、工艺技术员</w:t>
            </w:r>
          </w:p>
        </w:tc>
      </w:tr>
      <w:tr w14:paraId="7B57D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6B98905A">
            <w:pPr>
              <w:pStyle w:val="21"/>
              <w:rPr>
                <w:color w:val="auto"/>
              </w:rPr>
            </w:pPr>
            <w:r>
              <w:rPr>
                <w:color w:val="auto"/>
              </w:rPr>
              <w:t>技术信息</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37D9B2E7">
            <w:pPr>
              <w:pStyle w:val="21"/>
              <w:rPr>
                <w:color w:val="auto"/>
              </w:rPr>
            </w:pPr>
            <w:r>
              <w:rPr>
                <w:color w:val="auto"/>
              </w:rPr>
              <w:t>制造工艺</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534CBD27">
            <w:pPr>
              <w:pStyle w:val="21"/>
              <w:rPr>
                <w:color w:val="auto"/>
              </w:rPr>
            </w:pPr>
            <w:r>
              <w:rPr>
                <w:color w:val="auto"/>
              </w:rPr>
              <w:t>滚动体、保持器、锻造温度曲线、热处理工艺参数（淬火介质配方、回火温度）等企业核心制造工艺</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460D444F">
            <w:pPr>
              <w:pStyle w:val="21"/>
              <w:rPr>
                <w:color w:val="auto"/>
              </w:rPr>
            </w:pPr>
            <w:r>
              <w:rPr>
                <w:color w:val="auto"/>
              </w:rPr>
              <w:t>核心秘密</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571705F6">
            <w:pPr>
              <w:pStyle w:val="21"/>
              <w:rPr>
                <w:color w:val="auto"/>
              </w:rPr>
            </w:pPr>
            <w:r>
              <w:rPr>
                <w:color w:val="auto"/>
              </w:rPr>
              <w:t>电子文档、生产控制系统</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4D8685C5">
            <w:pPr>
              <w:pStyle w:val="21"/>
              <w:rPr>
                <w:color w:val="auto"/>
              </w:rPr>
            </w:pPr>
            <w:r>
              <w:rPr>
                <w:color w:val="auto"/>
              </w:rPr>
              <w:t>工艺技术员、生产主管</w:t>
            </w:r>
          </w:p>
        </w:tc>
      </w:tr>
      <w:tr w14:paraId="6A8E6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7ED44E9D">
            <w:pPr>
              <w:pStyle w:val="21"/>
              <w:rPr>
                <w:color w:val="auto"/>
              </w:rPr>
            </w:pP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77C123C5">
            <w:pPr>
              <w:pStyle w:val="21"/>
              <w:rPr>
                <w:color w:val="auto"/>
              </w:rPr>
            </w:pP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6995E0E7">
            <w:pPr>
              <w:pStyle w:val="21"/>
              <w:rPr>
                <w:color w:val="auto"/>
              </w:rPr>
            </w:pPr>
            <w:r>
              <w:rPr>
                <w:color w:val="auto"/>
              </w:rPr>
              <w:t>磨削加工进给量、装配工序流程</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65B88F80">
            <w:pPr>
              <w:pStyle w:val="21"/>
              <w:rPr>
                <w:color w:val="auto"/>
              </w:rPr>
            </w:pPr>
            <w:r>
              <w:rPr>
                <w:color w:val="auto"/>
              </w:rPr>
              <w:t>重要秘密</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47CB1D90">
            <w:pPr>
              <w:pStyle w:val="21"/>
              <w:rPr>
                <w:color w:val="auto"/>
              </w:rPr>
            </w:pPr>
            <w:r>
              <w:rPr>
                <w:color w:val="auto"/>
              </w:rPr>
              <w:t>电子文档、纸质文件</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45D14499">
            <w:pPr>
              <w:pStyle w:val="21"/>
              <w:rPr>
                <w:color w:val="auto"/>
              </w:rPr>
            </w:pPr>
            <w:r>
              <w:rPr>
                <w:color w:val="auto"/>
              </w:rPr>
              <w:t>工艺技术员、操作工</w:t>
            </w:r>
          </w:p>
        </w:tc>
      </w:tr>
      <w:tr w14:paraId="4E2D8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C20CBF6">
            <w:pPr>
              <w:pStyle w:val="21"/>
              <w:rPr>
                <w:color w:val="auto"/>
              </w:rPr>
            </w:pP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70A96350">
            <w:pPr>
              <w:pStyle w:val="21"/>
              <w:rPr>
                <w:color w:val="auto"/>
              </w:rPr>
            </w:pP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951450B">
            <w:pPr>
              <w:pStyle w:val="21"/>
              <w:rPr>
                <w:color w:val="auto"/>
              </w:rPr>
            </w:pPr>
            <w:r>
              <w:rPr>
                <w:b/>
                <w:bCs/>
                <w:color w:val="auto"/>
              </w:rPr>
              <w:t>所涉钢材的技术协议</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570BAC4E">
            <w:pPr>
              <w:pStyle w:val="21"/>
              <w:rPr>
                <w:color w:val="auto"/>
              </w:rPr>
            </w:pPr>
            <w:r>
              <w:rPr>
                <w:b/>
                <w:bCs/>
                <w:color w:val="auto"/>
              </w:rPr>
              <w:t>重要秘密</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5F0C6111">
            <w:pPr>
              <w:pStyle w:val="21"/>
              <w:rPr>
                <w:color w:val="auto"/>
              </w:rPr>
            </w:pPr>
            <w:r>
              <w:rPr>
                <w:b/>
                <w:bCs/>
                <w:color w:val="auto"/>
              </w:rPr>
              <w:t>电子文档、纸质协议</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146CF6FE">
            <w:pPr>
              <w:pStyle w:val="21"/>
              <w:rPr>
                <w:color w:val="auto"/>
              </w:rPr>
            </w:pPr>
            <w:r>
              <w:rPr>
                <w:b/>
                <w:bCs/>
                <w:color w:val="auto"/>
              </w:rPr>
              <w:t>采购经理、工艺技术员、原材料检验专员</w:t>
            </w:r>
          </w:p>
        </w:tc>
      </w:tr>
      <w:tr w14:paraId="48536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628F0712">
            <w:pPr>
              <w:pStyle w:val="21"/>
              <w:rPr>
                <w:color w:val="auto"/>
              </w:rPr>
            </w:pP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720C9FD7">
            <w:pPr>
              <w:pStyle w:val="21"/>
              <w:rPr>
                <w:color w:val="auto"/>
              </w:rPr>
            </w:pP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6EC8FCB">
            <w:pPr>
              <w:pStyle w:val="21"/>
              <w:rPr>
                <w:color w:val="auto"/>
              </w:rPr>
            </w:pPr>
            <w:r>
              <w:rPr>
                <w:b/>
                <w:bCs/>
                <w:color w:val="auto"/>
              </w:rPr>
              <w:t>锻造工装及模具（图纸、实物及库房）</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755CF062">
            <w:pPr>
              <w:pStyle w:val="21"/>
              <w:rPr>
                <w:color w:val="auto"/>
              </w:rPr>
            </w:pPr>
            <w:r>
              <w:rPr>
                <w:b/>
                <w:bCs/>
                <w:color w:val="auto"/>
              </w:rPr>
              <w:t>核心秘密</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1AC8725D">
            <w:pPr>
              <w:pStyle w:val="21"/>
              <w:rPr>
                <w:color w:val="auto"/>
              </w:rPr>
            </w:pPr>
            <w:r>
              <w:rPr>
                <w:b/>
                <w:bCs/>
                <w:color w:val="auto"/>
              </w:rPr>
              <w:t>电子文档、纸质图纸、实物、库房台账</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191CDEB3">
            <w:pPr>
              <w:pStyle w:val="21"/>
              <w:rPr>
                <w:color w:val="auto"/>
              </w:rPr>
            </w:pPr>
            <w:r>
              <w:rPr>
                <w:b/>
                <w:bCs/>
                <w:color w:val="auto"/>
              </w:rPr>
              <w:t>工艺技术员、工装模具管理员、库房管理员、锻造车间主管</w:t>
            </w:r>
          </w:p>
        </w:tc>
      </w:tr>
      <w:tr w14:paraId="4E5DE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3C315182">
            <w:pPr>
              <w:pStyle w:val="21"/>
              <w:rPr>
                <w:color w:val="auto"/>
              </w:rPr>
            </w:pP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2DF44F91">
            <w:pPr>
              <w:pStyle w:val="21"/>
              <w:rPr>
                <w:color w:val="auto"/>
              </w:rPr>
            </w:pP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2A51C399">
            <w:pPr>
              <w:pStyle w:val="21"/>
              <w:rPr>
                <w:color w:val="auto"/>
              </w:rPr>
            </w:pPr>
            <w:r>
              <w:rPr>
                <w:b/>
                <w:bCs/>
                <w:color w:val="auto"/>
              </w:rPr>
              <w:t>车加工专用工装（图纸、实物及库房）</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4D1A24CE">
            <w:pPr>
              <w:pStyle w:val="21"/>
              <w:rPr>
                <w:color w:val="auto"/>
              </w:rPr>
            </w:pPr>
            <w:r>
              <w:rPr>
                <w:b/>
                <w:bCs/>
                <w:color w:val="auto"/>
              </w:rPr>
              <w:t>核心秘密</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1E61FCB3">
            <w:pPr>
              <w:pStyle w:val="21"/>
              <w:rPr>
                <w:color w:val="auto"/>
              </w:rPr>
            </w:pPr>
            <w:r>
              <w:rPr>
                <w:b/>
                <w:bCs/>
                <w:color w:val="auto"/>
              </w:rPr>
              <w:t>电子文档、纸质图纸、实物、库房台账</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60A16E23">
            <w:pPr>
              <w:pStyle w:val="21"/>
              <w:rPr>
                <w:color w:val="auto"/>
              </w:rPr>
            </w:pPr>
            <w:r>
              <w:rPr>
                <w:b/>
                <w:bCs/>
                <w:color w:val="auto"/>
              </w:rPr>
              <w:t>工艺技术员、车加工车间主管、工装管理员、库房管理员</w:t>
            </w:r>
          </w:p>
        </w:tc>
      </w:tr>
      <w:tr w14:paraId="4A336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8DDDDE1">
            <w:pPr>
              <w:pStyle w:val="21"/>
              <w:rPr>
                <w:color w:val="auto"/>
              </w:rPr>
            </w:pP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74B8E10E">
            <w:pPr>
              <w:pStyle w:val="21"/>
              <w:rPr>
                <w:color w:val="auto"/>
              </w:rPr>
            </w:pP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200B381F">
            <w:pPr>
              <w:pStyle w:val="21"/>
              <w:rPr>
                <w:color w:val="auto"/>
              </w:rPr>
            </w:pPr>
            <w:r>
              <w:rPr>
                <w:b/>
                <w:bCs/>
                <w:color w:val="auto"/>
              </w:rPr>
              <w:t>车加工专用夹具（图纸、实物及库房）</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587385FE">
            <w:pPr>
              <w:pStyle w:val="21"/>
              <w:rPr>
                <w:color w:val="auto"/>
              </w:rPr>
            </w:pPr>
            <w:r>
              <w:rPr>
                <w:b/>
                <w:bCs/>
                <w:color w:val="auto"/>
              </w:rPr>
              <w:t>核心秘密</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3559FBA5">
            <w:pPr>
              <w:pStyle w:val="21"/>
              <w:rPr>
                <w:color w:val="auto"/>
              </w:rPr>
            </w:pPr>
            <w:r>
              <w:rPr>
                <w:b/>
                <w:bCs/>
                <w:color w:val="auto"/>
              </w:rPr>
              <w:t>电子文档、纸质图纸、实物、库房台账</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6A5BAC87">
            <w:pPr>
              <w:pStyle w:val="21"/>
              <w:rPr>
                <w:color w:val="auto"/>
              </w:rPr>
            </w:pPr>
            <w:r>
              <w:rPr>
                <w:b/>
                <w:bCs/>
                <w:color w:val="auto"/>
              </w:rPr>
              <w:t>工艺技术员、车加工操作工、夹具管理员、库房管理员</w:t>
            </w:r>
          </w:p>
        </w:tc>
      </w:tr>
      <w:tr w14:paraId="16D9A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6C15E50F">
            <w:pPr>
              <w:pStyle w:val="21"/>
              <w:rPr>
                <w:color w:val="auto"/>
              </w:rPr>
            </w:pP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403471AB">
            <w:pPr>
              <w:pStyle w:val="21"/>
              <w:rPr>
                <w:color w:val="auto"/>
              </w:rPr>
            </w:pP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7AAC7CAF">
            <w:pPr>
              <w:pStyle w:val="21"/>
              <w:rPr>
                <w:color w:val="auto"/>
              </w:rPr>
            </w:pPr>
            <w:r>
              <w:rPr>
                <w:b/>
                <w:bCs/>
                <w:color w:val="auto"/>
              </w:rPr>
              <w:t>锻造温度闭环控制的技术资料</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360BD19E">
            <w:pPr>
              <w:pStyle w:val="21"/>
              <w:rPr>
                <w:color w:val="auto"/>
              </w:rPr>
            </w:pPr>
            <w:r>
              <w:rPr>
                <w:b/>
                <w:bCs/>
                <w:color w:val="auto"/>
              </w:rPr>
              <w:t>核心秘密</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79A16101">
            <w:pPr>
              <w:pStyle w:val="21"/>
              <w:rPr>
                <w:color w:val="auto"/>
              </w:rPr>
            </w:pPr>
            <w:r>
              <w:rPr>
                <w:b/>
                <w:bCs/>
                <w:color w:val="auto"/>
              </w:rPr>
              <w:t>电子文档、纸质资料、生产控制系统参数文件</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3BFAB0F4">
            <w:pPr>
              <w:pStyle w:val="21"/>
              <w:rPr>
                <w:color w:val="auto"/>
              </w:rPr>
            </w:pPr>
            <w:r>
              <w:rPr>
                <w:b/>
                <w:bCs/>
                <w:color w:val="auto"/>
              </w:rPr>
              <w:t>工艺技术员、生产主管、设备工程师</w:t>
            </w:r>
          </w:p>
        </w:tc>
      </w:tr>
      <w:tr w14:paraId="08509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0A7D8E8">
            <w:pPr>
              <w:pStyle w:val="21"/>
              <w:rPr>
                <w:color w:val="auto"/>
              </w:rPr>
            </w:pPr>
            <w:r>
              <w:rPr>
                <w:color w:val="auto"/>
              </w:rPr>
              <w:t>技术信息</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7C687176">
            <w:pPr>
              <w:pStyle w:val="21"/>
              <w:rPr>
                <w:color w:val="auto"/>
              </w:rPr>
            </w:pPr>
            <w:r>
              <w:rPr>
                <w:color w:val="auto"/>
              </w:rPr>
              <w:t>检测技术</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6BDD1C13">
            <w:pPr>
              <w:pStyle w:val="21"/>
              <w:rPr>
                <w:color w:val="auto"/>
              </w:rPr>
            </w:pPr>
            <w:r>
              <w:rPr>
                <w:color w:val="auto"/>
              </w:rPr>
              <w:t>寿命测试加载参数、振动噪声检测算法</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4C96E9E5">
            <w:pPr>
              <w:pStyle w:val="21"/>
              <w:rPr>
                <w:color w:val="auto"/>
              </w:rPr>
            </w:pPr>
            <w:r>
              <w:rPr>
                <w:color w:val="auto"/>
              </w:rPr>
              <w:t>核心秘密</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4DB90458">
            <w:pPr>
              <w:pStyle w:val="21"/>
              <w:rPr>
                <w:color w:val="auto"/>
              </w:rPr>
            </w:pPr>
            <w:r>
              <w:rPr>
                <w:color w:val="auto"/>
              </w:rPr>
              <w:t>电子文档、检测设备</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5C336E43">
            <w:pPr>
              <w:pStyle w:val="21"/>
              <w:rPr>
                <w:color w:val="auto"/>
              </w:rPr>
            </w:pPr>
            <w:r>
              <w:rPr>
                <w:color w:val="auto"/>
              </w:rPr>
              <w:t>检测专员、研发工程师</w:t>
            </w:r>
          </w:p>
        </w:tc>
      </w:tr>
      <w:tr w14:paraId="797E2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2C11F9C">
            <w:pPr>
              <w:pStyle w:val="21"/>
              <w:rPr>
                <w:color w:val="auto"/>
              </w:rPr>
            </w:pP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6AFA2085">
            <w:pPr>
              <w:pStyle w:val="21"/>
              <w:rPr>
                <w:color w:val="auto"/>
              </w:rPr>
            </w:pP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3089D43A">
            <w:pPr>
              <w:pStyle w:val="21"/>
              <w:rPr>
                <w:color w:val="auto"/>
              </w:rPr>
            </w:pPr>
            <w:r>
              <w:rPr>
                <w:color w:val="auto"/>
              </w:rPr>
              <w:t>缺陷识别标准、检测设备校准数据</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4A4D58DF">
            <w:pPr>
              <w:pStyle w:val="21"/>
              <w:rPr>
                <w:color w:val="auto"/>
              </w:rPr>
            </w:pPr>
            <w:r>
              <w:rPr>
                <w:color w:val="auto"/>
              </w:rPr>
              <w:t>重要秘密</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1D21F72">
            <w:pPr>
              <w:pStyle w:val="21"/>
              <w:rPr>
                <w:color w:val="auto"/>
              </w:rPr>
            </w:pPr>
            <w:r>
              <w:rPr>
                <w:color w:val="auto"/>
              </w:rPr>
              <w:t>电子文档、纸质报告</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721D410E">
            <w:pPr>
              <w:pStyle w:val="21"/>
              <w:rPr>
                <w:color w:val="auto"/>
              </w:rPr>
            </w:pPr>
            <w:r>
              <w:rPr>
                <w:color w:val="auto"/>
              </w:rPr>
              <w:t>检测专员、设备管理员</w:t>
            </w:r>
          </w:p>
        </w:tc>
      </w:tr>
      <w:tr w14:paraId="3540C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333EA07">
            <w:pPr>
              <w:pStyle w:val="21"/>
              <w:rPr>
                <w:color w:val="auto"/>
              </w:rPr>
            </w:pPr>
            <w:r>
              <w:rPr>
                <w:color w:val="auto"/>
              </w:rPr>
              <w:t>技术信息</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6C97A44F">
            <w:pPr>
              <w:pStyle w:val="21"/>
              <w:rPr>
                <w:color w:val="auto"/>
              </w:rPr>
            </w:pPr>
            <w:r>
              <w:rPr>
                <w:color w:val="auto"/>
              </w:rPr>
              <w:t>设备技术</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40DD1358">
            <w:pPr>
              <w:pStyle w:val="21"/>
              <w:rPr>
                <w:color w:val="auto"/>
              </w:rPr>
            </w:pPr>
            <w:r>
              <w:rPr>
                <w:color w:val="auto"/>
              </w:rPr>
              <w:t>专用机床改造方案、自动化控制程序</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2AF82DC3">
            <w:pPr>
              <w:pStyle w:val="21"/>
              <w:rPr>
                <w:color w:val="auto"/>
              </w:rPr>
            </w:pPr>
            <w:r>
              <w:rPr>
                <w:color w:val="auto"/>
              </w:rPr>
              <w:t>核心秘密</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63E9F247">
            <w:pPr>
              <w:pStyle w:val="21"/>
              <w:rPr>
                <w:color w:val="auto"/>
              </w:rPr>
            </w:pPr>
            <w:r>
              <w:rPr>
                <w:color w:val="auto"/>
              </w:rPr>
              <w:t>电子文档、设备</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43CCC6D8">
            <w:pPr>
              <w:pStyle w:val="21"/>
              <w:rPr>
                <w:color w:val="auto"/>
              </w:rPr>
            </w:pPr>
            <w:r>
              <w:rPr>
                <w:color w:val="auto"/>
              </w:rPr>
              <w:t>设备工程师、技术总监</w:t>
            </w:r>
          </w:p>
        </w:tc>
      </w:tr>
      <w:tr w14:paraId="6A977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22F74CBC">
            <w:pPr>
              <w:pStyle w:val="21"/>
              <w:rPr>
                <w:color w:val="auto"/>
              </w:rPr>
            </w:pP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F2770E4">
            <w:pPr>
              <w:pStyle w:val="21"/>
              <w:rPr>
                <w:color w:val="auto"/>
              </w:rPr>
            </w:pP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57B46841">
            <w:pPr>
              <w:pStyle w:val="21"/>
              <w:rPr>
                <w:color w:val="auto"/>
              </w:rPr>
            </w:pPr>
            <w:r>
              <w:rPr>
                <w:color w:val="auto"/>
              </w:rPr>
              <w:t>核心设备维护手册</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69EC103D">
            <w:pPr>
              <w:pStyle w:val="21"/>
              <w:rPr>
                <w:color w:val="auto"/>
              </w:rPr>
            </w:pPr>
            <w:r>
              <w:rPr>
                <w:color w:val="auto"/>
              </w:rPr>
              <w:t>重要秘密</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68145200">
            <w:pPr>
              <w:pStyle w:val="21"/>
              <w:rPr>
                <w:color w:val="auto"/>
              </w:rPr>
            </w:pPr>
            <w:r>
              <w:rPr>
                <w:color w:val="auto"/>
              </w:rPr>
              <w:t>电子文档、纸质手册</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6AD0D9E">
            <w:pPr>
              <w:pStyle w:val="21"/>
              <w:rPr>
                <w:color w:val="auto"/>
              </w:rPr>
            </w:pPr>
            <w:r>
              <w:rPr>
                <w:color w:val="auto"/>
              </w:rPr>
              <w:t>设备工程师、维修工</w:t>
            </w:r>
          </w:p>
        </w:tc>
      </w:tr>
      <w:tr w14:paraId="1C059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7FEEACE4">
            <w:pPr>
              <w:pStyle w:val="21"/>
              <w:rPr>
                <w:color w:val="auto"/>
              </w:rPr>
            </w:pPr>
            <w:r>
              <w:rPr>
                <w:color w:val="auto"/>
              </w:rPr>
              <w:t>经营信息</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7176CD53">
            <w:pPr>
              <w:pStyle w:val="21"/>
              <w:rPr>
                <w:color w:val="auto"/>
              </w:rPr>
            </w:pPr>
            <w:r>
              <w:rPr>
                <w:color w:val="auto"/>
              </w:rPr>
              <w:t>客户信息</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279E189F">
            <w:pPr>
              <w:pStyle w:val="21"/>
              <w:rPr>
                <w:color w:val="auto"/>
              </w:rPr>
            </w:pPr>
            <w:r>
              <w:rPr>
                <w:color w:val="auto"/>
              </w:rPr>
              <w:t>核心客户（汽车主机厂、风电企业）定制需求、价格体系</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45434F3D">
            <w:pPr>
              <w:pStyle w:val="21"/>
              <w:rPr>
                <w:color w:val="auto"/>
              </w:rPr>
            </w:pPr>
            <w:r>
              <w:rPr>
                <w:color w:val="auto"/>
              </w:rPr>
              <w:t>核心秘密</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41E2F921">
            <w:pPr>
              <w:pStyle w:val="21"/>
              <w:rPr>
                <w:color w:val="auto"/>
              </w:rPr>
            </w:pPr>
            <w:r>
              <w:rPr>
                <w:color w:val="auto"/>
              </w:rPr>
              <w:t>电子文档（CRM 系统）</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6487EF98">
            <w:pPr>
              <w:pStyle w:val="21"/>
              <w:rPr>
                <w:color w:val="auto"/>
              </w:rPr>
            </w:pPr>
            <w:r>
              <w:rPr>
                <w:color w:val="auto"/>
              </w:rPr>
              <w:t>销售总监、客户经理</w:t>
            </w:r>
          </w:p>
        </w:tc>
      </w:tr>
      <w:tr w14:paraId="21EC1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2E78369">
            <w:pPr>
              <w:pStyle w:val="21"/>
              <w:rPr>
                <w:color w:val="auto"/>
              </w:rPr>
            </w:pP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221D68A8">
            <w:pPr>
              <w:pStyle w:val="21"/>
              <w:rPr>
                <w:color w:val="auto"/>
              </w:rPr>
            </w:pP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125FD3B1">
            <w:pPr>
              <w:pStyle w:val="21"/>
              <w:rPr>
                <w:color w:val="auto"/>
              </w:rPr>
            </w:pPr>
            <w:r>
              <w:rPr>
                <w:color w:val="auto"/>
              </w:rPr>
              <w:t>一般客户基础信息、采购周期</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5F81E149">
            <w:pPr>
              <w:pStyle w:val="21"/>
              <w:rPr>
                <w:color w:val="auto"/>
              </w:rPr>
            </w:pPr>
            <w:r>
              <w:rPr>
                <w:color w:val="auto"/>
              </w:rPr>
              <w:t>一般秘密</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19106BA9">
            <w:pPr>
              <w:pStyle w:val="21"/>
              <w:rPr>
                <w:color w:val="auto"/>
              </w:rPr>
            </w:pPr>
            <w:r>
              <w:rPr>
                <w:color w:val="auto"/>
              </w:rPr>
              <w:t>电子文档（CRM 系统）</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374ED376">
            <w:pPr>
              <w:pStyle w:val="21"/>
              <w:rPr>
                <w:color w:val="auto"/>
              </w:rPr>
            </w:pPr>
            <w:r>
              <w:rPr>
                <w:color w:val="auto"/>
              </w:rPr>
              <w:t>客户经理</w:t>
            </w:r>
          </w:p>
        </w:tc>
      </w:tr>
      <w:tr w14:paraId="64CA2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02EFBA9">
            <w:pPr>
              <w:pStyle w:val="21"/>
              <w:rPr>
                <w:color w:val="auto"/>
              </w:rPr>
            </w:pPr>
            <w:r>
              <w:rPr>
                <w:color w:val="auto"/>
              </w:rPr>
              <w:t>经营信息</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ED64B1D">
            <w:pPr>
              <w:pStyle w:val="21"/>
              <w:rPr>
                <w:color w:val="auto"/>
              </w:rPr>
            </w:pPr>
            <w:r>
              <w:rPr>
                <w:color w:val="auto"/>
              </w:rPr>
              <w:t>供应链信息</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65C8A14E">
            <w:pPr>
              <w:pStyle w:val="21"/>
              <w:rPr>
                <w:color w:val="auto"/>
              </w:rPr>
            </w:pPr>
            <w:r>
              <w:rPr>
                <w:color w:val="auto"/>
              </w:rPr>
              <w:t>关键原材料供应商名单、采购价格与合作协议</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18589FC1">
            <w:pPr>
              <w:pStyle w:val="21"/>
              <w:rPr>
                <w:color w:val="auto"/>
              </w:rPr>
            </w:pPr>
            <w:r>
              <w:rPr>
                <w:color w:val="auto"/>
              </w:rPr>
              <w:t>核心秘密</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792E47A4">
            <w:pPr>
              <w:pStyle w:val="21"/>
              <w:rPr>
                <w:color w:val="auto"/>
              </w:rPr>
            </w:pPr>
            <w:r>
              <w:rPr>
                <w:color w:val="auto"/>
              </w:rPr>
              <w:t>电子文档、纸质合同</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56AF30A8">
            <w:pPr>
              <w:pStyle w:val="21"/>
              <w:rPr>
                <w:color w:val="auto"/>
              </w:rPr>
            </w:pPr>
            <w:r>
              <w:rPr>
                <w:color w:val="auto"/>
              </w:rPr>
              <w:t>采购总监、采购经理</w:t>
            </w:r>
          </w:p>
        </w:tc>
      </w:tr>
      <w:tr w14:paraId="2A6BB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64EDEFC8">
            <w:pPr>
              <w:pStyle w:val="21"/>
              <w:rPr>
                <w:color w:val="auto"/>
              </w:rPr>
            </w:pP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FF064E5">
            <w:pPr>
              <w:pStyle w:val="21"/>
              <w:rPr>
                <w:color w:val="auto"/>
              </w:rPr>
            </w:pP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C2E4803">
            <w:pPr>
              <w:pStyle w:val="21"/>
              <w:rPr>
                <w:color w:val="auto"/>
              </w:rPr>
            </w:pPr>
            <w:r>
              <w:rPr>
                <w:color w:val="auto"/>
              </w:rPr>
              <w:t>零部件替代供应商储备方案</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38E81592">
            <w:pPr>
              <w:pStyle w:val="21"/>
              <w:rPr>
                <w:color w:val="auto"/>
              </w:rPr>
            </w:pPr>
            <w:r>
              <w:rPr>
                <w:color w:val="auto"/>
              </w:rPr>
              <w:t>重要秘密</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530EA7A9">
            <w:pPr>
              <w:pStyle w:val="21"/>
              <w:rPr>
                <w:color w:val="auto"/>
              </w:rPr>
            </w:pPr>
            <w:r>
              <w:rPr>
                <w:color w:val="auto"/>
              </w:rPr>
              <w:t>电子文档</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1009A083">
            <w:pPr>
              <w:pStyle w:val="21"/>
              <w:rPr>
                <w:color w:val="auto"/>
              </w:rPr>
            </w:pPr>
            <w:r>
              <w:rPr>
                <w:color w:val="auto"/>
              </w:rPr>
              <w:t>采购经理</w:t>
            </w:r>
          </w:p>
        </w:tc>
      </w:tr>
      <w:tr w14:paraId="00416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2811A1D5">
            <w:pPr>
              <w:pStyle w:val="21"/>
              <w:rPr>
                <w:color w:val="auto"/>
              </w:rPr>
            </w:pPr>
            <w:r>
              <w:rPr>
                <w:color w:val="auto"/>
              </w:rPr>
              <w:t>经营信息</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ECFB892">
            <w:pPr>
              <w:pStyle w:val="21"/>
              <w:rPr>
                <w:color w:val="auto"/>
              </w:rPr>
            </w:pPr>
            <w:r>
              <w:rPr>
                <w:color w:val="auto"/>
              </w:rPr>
              <w:t>市场策略</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ABE9B3B">
            <w:pPr>
              <w:pStyle w:val="21"/>
              <w:rPr>
                <w:color w:val="auto"/>
              </w:rPr>
            </w:pPr>
            <w:r>
              <w:rPr>
                <w:color w:val="auto"/>
              </w:rPr>
              <w:t>新产品上市计划、定价机制、招投标标底</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1A9D0B33">
            <w:pPr>
              <w:pStyle w:val="21"/>
              <w:rPr>
                <w:color w:val="auto"/>
              </w:rPr>
            </w:pPr>
            <w:r>
              <w:rPr>
                <w:color w:val="auto"/>
              </w:rPr>
              <w:t>核心秘密</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3CBAF6C0">
            <w:pPr>
              <w:pStyle w:val="21"/>
              <w:rPr>
                <w:color w:val="auto"/>
              </w:rPr>
            </w:pPr>
            <w:r>
              <w:rPr>
                <w:color w:val="auto"/>
              </w:rPr>
              <w:t>电子文档、纸质文件</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2413D4B8">
            <w:pPr>
              <w:pStyle w:val="21"/>
              <w:rPr>
                <w:color w:val="auto"/>
              </w:rPr>
            </w:pPr>
            <w:r>
              <w:rPr>
                <w:color w:val="auto"/>
              </w:rPr>
              <w:t>总经理、销售总监、市场经理</w:t>
            </w:r>
          </w:p>
        </w:tc>
      </w:tr>
      <w:tr w14:paraId="5020B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79A5ABD6">
            <w:pPr>
              <w:pStyle w:val="21"/>
              <w:rPr>
                <w:color w:val="auto"/>
              </w:rPr>
            </w:pP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B7C355B">
            <w:pPr>
              <w:pStyle w:val="21"/>
              <w:rPr>
                <w:color w:val="auto"/>
              </w:rPr>
            </w:pP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64255E51">
            <w:pPr>
              <w:pStyle w:val="21"/>
              <w:rPr>
                <w:color w:val="auto"/>
              </w:rPr>
            </w:pPr>
            <w:r>
              <w:rPr>
                <w:color w:val="auto"/>
              </w:rPr>
              <w:t>区域市场布局方案、竞争对手分析报告</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48F70435">
            <w:pPr>
              <w:pStyle w:val="21"/>
              <w:rPr>
                <w:color w:val="auto"/>
              </w:rPr>
            </w:pPr>
            <w:r>
              <w:rPr>
                <w:color w:val="auto"/>
              </w:rPr>
              <w:t>重要秘密</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5857DF94">
            <w:pPr>
              <w:pStyle w:val="21"/>
              <w:rPr>
                <w:color w:val="auto"/>
              </w:rPr>
            </w:pPr>
            <w:r>
              <w:rPr>
                <w:color w:val="auto"/>
              </w:rPr>
              <w:t>电子文档</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3E4507BB">
            <w:pPr>
              <w:pStyle w:val="21"/>
              <w:rPr>
                <w:color w:val="auto"/>
              </w:rPr>
            </w:pPr>
            <w:r>
              <w:rPr>
                <w:color w:val="auto"/>
              </w:rPr>
              <w:t>销售总监、市场经理</w:t>
            </w:r>
          </w:p>
        </w:tc>
      </w:tr>
      <w:tr w14:paraId="6A4AA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5EC6715F">
            <w:pPr>
              <w:pStyle w:val="21"/>
              <w:rPr>
                <w:color w:val="auto"/>
              </w:rPr>
            </w:pPr>
            <w:r>
              <w:rPr>
                <w:color w:val="auto"/>
              </w:rPr>
              <w:t>经营信息</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5C9191C4">
            <w:pPr>
              <w:pStyle w:val="21"/>
              <w:rPr>
                <w:color w:val="auto"/>
              </w:rPr>
            </w:pPr>
            <w:r>
              <w:rPr>
                <w:color w:val="auto"/>
              </w:rPr>
              <w:t>财务信息</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1BEB1C6D">
            <w:pPr>
              <w:pStyle w:val="21"/>
              <w:rPr>
                <w:color w:val="auto"/>
              </w:rPr>
            </w:pPr>
            <w:r>
              <w:rPr>
                <w:color w:val="auto"/>
              </w:rPr>
              <w:t>未公开成本核算数据、利润率、投融资计划</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77378B45">
            <w:pPr>
              <w:pStyle w:val="21"/>
              <w:rPr>
                <w:color w:val="auto"/>
              </w:rPr>
            </w:pPr>
            <w:r>
              <w:rPr>
                <w:color w:val="auto"/>
              </w:rPr>
              <w:t>核心秘密</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67C7EFE9">
            <w:pPr>
              <w:pStyle w:val="21"/>
              <w:rPr>
                <w:color w:val="auto"/>
              </w:rPr>
            </w:pPr>
            <w:r>
              <w:rPr>
                <w:color w:val="auto"/>
              </w:rPr>
              <w:t>电子文档、纸质报表</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419B6934">
            <w:pPr>
              <w:pStyle w:val="21"/>
              <w:rPr>
                <w:color w:val="auto"/>
              </w:rPr>
            </w:pPr>
            <w:r>
              <w:rPr>
                <w:color w:val="auto"/>
              </w:rPr>
              <w:t>财务总监、总经理</w:t>
            </w:r>
          </w:p>
        </w:tc>
      </w:tr>
      <w:tr w14:paraId="159F1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218990ED">
            <w:pPr>
              <w:pStyle w:val="21"/>
              <w:rPr>
                <w:color w:val="auto"/>
              </w:rPr>
            </w:pP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7C29157C">
            <w:pPr>
              <w:pStyle w:val="21"/>
              <w:rPr>
                <w:color w:val="auto"/>
              </w:rPr>
            </w:pP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20F5A683">
            <w:pPr>
              <w:pStyle w:val="21"/>
              <w:rPr>
                <w:color w:val="auto"/>
              </w:rPr>
            </w:pPr>
            <w:r>
              <w:rPr>
                <w:color w:val="auto"/>
              </w:rPr>
              <w:t>研发投入预算、常规财务报表</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4A6EEEB">
            <w:pPr>
              <w:pStyle w:val="21"/>
              <w:rPr>
                <w:color w:val="auto"/>
              </w:rPr>
            </w:pPr>
            <w:r>
              <w:rPr>
                <w:color w:val="auto"/>
              </w:rPr>
              <w:t>重要秘密</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7E525884">
            <w:pPr>
              <w:pStyle w:val="21"/>
              <w:rPr>
                <w:color w:val="auto"/>
              </w:rPr>
            </w:pPr>
            <w:r>
              <w:rPr>
                <w:color w:val="auto"/>
              </w:rPr>
              <w:t>电子文档、纸质报表</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52AE7C89">
            <w:pPr>
              <w:pStyle w:val="21"/>
              <w:rPr>
                <w:color w:val="auto"/>
              </w:rPr>
            </w:pPr>
            <w:r>
              <w:rPr>
                <w:color w:val="auto"/>
              </w:rPr>
              <w:t>财务经理、部门负责人</w:t>
            </w:r>
          </w:p>
        </w:tc>
      </w:tr>
      <w:bookmarkEnd w:id="131"/>
    </w:tbl>
    <w:p w14:paraId="7A9F87EC">
      <w:pPr>
        <w:pStyle w:val="4"/>
        <w:ind w:left="0" w:leftChars="0"/>
        <w:outlineLvl w:val="9"/>
        <w:rPr>
          <w:color w:val="auto"/>
        </w:rPr>
      </w:pPr>
      <w:bookmarkStart w:id="132" w:name="_Toc13788"/>
    </w:p>
    <w:p w14:paraId="7326AF63">
      <w:pPr>
        <w:rPr>
          <w:color w:val="auto"/>
        </w:rPr>
      </w:pPr>
    </w:p>
    <w:p w14:paraId="5EAC8B0F">
      <w:pPr>
        <w:rPr>
          <w:color w:val="auto"/>
        </w:rPr>
      </w:pPr>
    </w:p>
    <w:p w14:paraId="500DFCD1">
      <w:pPr>
        <w:rPr>
          <w:color w:val="auto"/>
        </w:rPr>
      </w:pPr>
    </w:p>
    <w:p w14:paraId="7E415B18">
      <w:pPr>
        <w:rPr>
          <w:color w:val="auto"/>
        </w:rPr>
      </w:pPr>
    </w:p>
    <w:p w14:paraId="2C80A922">
      <w:pPr>
        <w:rPr>
          <w:color w:val="auto"/>
        </w:rPr>
      </w:pPr>
    </w:p>
    <w:p w14:paraId="35F8D3E1">
      <w:pPr>
        <w:rPr>
          <w:color w:val="auto"/>
        </w:rPr>
      </w:pPr>
    </w:p>
    <w:p w14:paraId="5906D849">
      <w:pPr>
        <w:rPr>
          <w:color w:val="auto"/>
        </w:rPr>
      </w:pPr>
    </w:p>
    <w:p w14:paraId="79CFB494">
      <w:pPr>
        <w:rPr>
          <w:color w:val="auto"/>
        </w:rPr>
      </w:pPr>
    </w:p>
    <w:p w14:paraId="209995D3">
      <w:pPr>
        <w:rPr>
          <w:color w:val="auto"/>
        </w:rPr>
      </w:pPr>
    </w:p>
    <w:p w14:paraId="1AA7A152">
      <w:pPr>
        <w:rPr>
          <w:color w:val="auto"/>
        </w:rPr>
      </w:pPr>
    </w:p>
    <w:p w14:paraId="4EEDA01E">
      <w:pPr>
        <w:rPr>
          <w:color w:val="auto"/>
        </w:rPr>
      </w:pPr>
    </w:p>
    <w:p w14:paraId="5EB6C69F">
      <w:pPr>
        <w:rPr>
          <w:color w:val="auto"/>
        </w:rPr>
      </w:pPr>
    </w:p>
    <w:p w14:paraId="381E899C">
      <w:pPr>
        <w:rPr>
          <w:color w:val="auto"/>
        </w:rPr>
      </w:pPr>
    </w:p>
    <w:p w14:paraId="526B476B">
      <w:pPr>
        <w:pStyle w:val="2"/>
        <w:rPr>
          <w:rFonts w:ascii="Arial" w:hAnsi="Arial" w:eastAsia="等线" w:cs="Arial"/>
          <w:b/>
          <w:bCs/>
          <w:color w:val="auto"/>
          <w:sz w:val="30"/>
          <w:szCs w:val="30"/>
        </w:rPr>
      </w:pPr>
      <w:r>
        <w:rPr>
          <w:rFonts w:ascii="Arial" w:hAnsi="Arial" w:eastAsia="等线" w:cs="Arial"/>
          <w:b/>
          <w:bCs/>
          <w:color w:val="auto"/>
          <w:sz w:val="30"/>
          <w:szCs w:val="30"/>
        </w:rPr>
        <w:t>附录四 商业秘密清单参考文本</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782"/>
        <w:gridCol w:w="971"/>
        <w:gridCol w:w="782"/>
        <w:gridCol w:w="1214"/>
        <w:gridCol w:w="972"/>
        <w:gridCol w:w="782"/>
        <w:gridCol w:w="782"/>
        <w:gridCol w:w="1035"/>
        <w:gridCol w:w="973"/>
        <w:gridCol w:w="973"/>
      </w:tblGrid>
      <w:tr w14:paraId="00FC1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65D3192B">
            <w:pPr>
              <w:pStyle w:val="21"/>
              <w:rPr>
                <w:color w:val="auto"/>
              </w:rPr>
            </w:pPr>
            <w:r>
              <w:rPr>
                <w:color w:val="auto"/>
              </w:rPr>
              <w:t>序号</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55F20A0A">
            <w:pPr>
              <w:pStyle w:val="21"/>
              <w:rPr>
                <w:color w:val="auto"/>
              </w:rPr>
            </w:pPr>
            <w:r>
              <w:rPr>
                <w:color w:val="auto"/>
              </w:rPr>
              <w:t>秘密点名称</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40C526C4">
            <w:pPr>
              <w:pStyle w:val="21"/>
              <w:rPr>
                <w:color w:val="auto"/>
              </w:rPr>
            </w:pPr>
            <w:r>
              <w:rPr>
                <w:color w:val="auto"/>
              </w:rPr>
              <w:t>密级</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3019333E">
            <w:pPr>
              <w:pStyle w:val="21"/>
              <w:rPr>
                <w:color w:val="auto"/>
              </w:rPr>
            </w:pPr>
            <w:r>
              <w:rPr>
                <w:color w:val="auto"/>
              </w:rPr>
              <w:t>载体形式</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A1DAE81">
            <w:pPr>
              <w:pStyle w:val="21"/>
              <w:rPr>
                <w:color w:val="auto"/>
              </w:rPr>
            </w:pPr>
            <w:r>
              <w:rPr>
                <w:color w:val="auto"/>
              </w:rPr>
              <w:t>知悉范围</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6A0897F2">
            <w:pPr>
              <w:pStyle w:val="21"/>
              <w:rPr>
                <w:color w:val="auto"/>
              </w:rPr>
            </w:pPr>
            <w:r>
              <w:rPr>
                <w:color w:val="auto"/>
              </w:rPr>
              <w:t>保密期限</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55D164C5">
            <w:pPr>
              <w:pStyle w:val="21"/>
              <w:rPr>
                <w:color w:val="auto"/>
              </w:rPr>
            </w:pPr>
            <w:r>
              <w:rPr>
                <w:color w:val="auto"/>
              </w:rPr>
              <w:t>解密条件</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5176D0B8">
            <w:pPr>
              <w:pStyle w:val="21"/>
              <w:rPr>
                <w:color w:val="auto"/>
              </w:rPr>
            </w:pPr>
            <w:r>
              <w:rPr>
                <w:color w:val="auto"/>
              </w:rPr>
              <w:t>定密日期</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788C4A51">
            <w:pPr>
              <w:pStyle w:val="21"/>
              <w:rPr>
                <w:color w:val="auto"/>
              </w:rPr>
            </w:pPr>
            <w:r>
              <w:rPr>
                <w:color w:val="auto"/>
              </w:rPr>
              <w:t>定密审批人</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4D347583">
            <w:pPr>
              <w:pStyle w:val="21"/>
              <w:rPr>
                <w:color w:val="auto"/>
              </w:rPr>
            </w:pPr>
            <w:r>
              <w:rPr>
                <w:color w:val="auto"/>
              </w:rPr>
              <w:t>备注</w:t>
            </w:r>
          </w:p>
        </w:tc>
      </w:tr>
      <w:tr w14:paraId="7A7DF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4B00974E">
            <w:pPr>
              <w:pStyle w:val="21"/>
              <w:rPr>
                <w:color w:val="auto"/>
              </w:rPr>
            </w:pPr>
            <w:r>
              <w:rPr>
                <w:color w:val="auto"/>
              </w:rPr>
              <w:t>1</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7BDEC4F6">
            <w:pPr>
              <w:pStyle w:val="21"/>
              <w:rPr>
                <w:color w:val="auto"/>
              </w:rPr>
            </w:pPr>
            <w:r>
              <w:rPr>
                <w:color w:val="auto"/>
              </w:rPr>
              <w:t>风电轴承热处理工艺参数</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58398758">
            <w:pPr>
              <w:pStyle w:val="21"/>
              <w:rPr>
                <w:color w:val="auto"/>
              </w:rPr>
            </w:pPr>
            <w:r>
              <w:rPr>
                <w:color w:val="auto"/>
              </w:rPr>
              <w:t>核心秘密</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33D3D5B">
            <w:pPr>
              <w:pStyle w:val="21"/>
              <w:rPr>
                <w:color w:val="auto"/>
              </w:rPr>
            </w:pPr>
            <w:r>
              <w:rPr>
                <w:color w:val="auto"/>
              </w:rPr>
              <w:t>电子文档、生产控制系统</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36CD919E">
            <w:pPr>
              <w:pStyle w:val="21"/>
              <w:rPr>
                <w:color w:val="auto"/>
              </w:rPr>
            </w:pPr>
            <w:r>
              <w:rPr>
                <w:color w:val="auto"/>
              </w:rPr>
              <w:t>工艺技术员、生产主管、技术总监</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1DF92609">
            <w:pPr>
              <w:pStyle w:val="21"/>
              <w:rPr>
                <w:color w:val="auto"/>
              </w:rPr>
            </w:pPr>
            <w:r>
              <w:rPr>
                <w:color w:val="auto"/>
              </w:rPr>
              <w:t>长期</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D2C49FE">
            <w:pPr>
              <w:pStyle w:val="21"/>
              <w:rPr>
                <w:color w:val="auto"/>
              </w:rPr>
            </w:pPr>
            <w:r>
              <w:rPr>
                <w:color w:val="auto"/>
              </w:rPr>
              <w:t>技术公开或产品退市</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25917EDB">
            <w:pPr>
              <w:pStyle w:val="21"/>
              <w:rPr>
                <w:color w:val="auto"/>
              </w:rPr>
            </w:pPr>
            <w:r>
              <w:rPr>
                <w:color w:val="auto"/>
              </w:rPr>
              <w:t>202X 年 X 月 X 日</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4AF51D3">
            <w:pPr>
              <w:pStyle w:val="21"/>
              <w:rPr>
                <w:color w:val="auto"/>
              </w:rPr>
            </w:pPr>
            <w:r>
              <w:rPr>
                <w:color w:val="auto"/>
              </w:rPr>
              <w:t>XXX</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3D299936">
            <w:pPr>
              <w:pStyle w:val="21"/>
              <w:rPr>
                <w:color w:val="auto"/>
              </w:rPr>
            </w:pPr>
            <w:r>
              <w:rPr>
                <w:color w:val="auto"/>
              </w:rPr>
              <w:t>含淬火温度、回火时间等</w:t>
            </w:r>
          </w:p>
        </w:tc>
      </w:tr>
      <w:tr w14:paraId="57A8D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2199888E">
            <w:pPr>
              <w:pStyle w:val="21"/>
              <w:rPr>
                <w:color w:val="auto"/>
              </w:rPr>
            </w:pPr>
            <w:r>
              <w:rPr>
                <w:color w:val="auto"/>
              </w:rPr>
              <w:t>2</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5E9D1996">
            <w:pPr>
              <w:pStyle w:val="21"/>
              <w:rPr>
                <w:color w:val="auto"/>
              </w:rPr>
            </w:pPr>
            <w:r>
              <w:rPr>
                <w:color w:val="auto"/>
              </w:rPr>
              <w:t>某汽车主机厂定制轴承价格体系</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5B4144E6">
            <w:pPr>
              <w:pStyle w:val="21"/>
              <w:rPr>
                <w:color w:val="auto"/>
              </w:rPr>
            </w:pPr>
            <w:r>
              <w:rPr>
                <w:color w:val="auto"/>
              </w:rPr>
              <w:t>核心秘密</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656A6391">
            <w:pPr>
              <w:pStyle w:val="21"/>
              <w:rPr>
                <w:color w:val="auto"/>
              </w:rPr>
            </w:pPr>
            <w:r>
              <w:rPr>
                <w:color w:val="auto"/>
              </w:rPr>
              <w:t>电子文档（CRM 系统）</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2DA2AF58">
            <w:pPr>
              <w:pStyle w:val="21"/>
              <w:rPr>
                <w:color w:val="auto"/>
              </w:rPr>
            </w:pPr>
            <w:r>
              <w:rPr>
                <w:color w:val="auto"/>
              </w:rPr>
              <w:t>销售总监、客户经理 XXX</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57E4FD67">
            <w:pPr>
              <w:pStyle w:val="21"/>
              <w:rPr>
                <w:color w:val="auto"/>
              </w:rPr>
            </w:pPr>
            <w:r>
              <w:rPr>
                <w:color w:val="auto"/>
              </w:rPr>
              <w:t>3 年</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55524F9F">
            <w:pPr>
              <w:pStyle w:val="21"/>
              <w:rPr>
                <w:color w:val="auto"/>
              </w:rPr>
            </w:pPr>
            <w:r>
              <w:rPr>
                <w:color w:val="auto"/>
              </w:rPr>
              <w:t>合作终止后 1 年</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2AF0302C">
            <w:pPr>
              <w:pStyle w:val="21"/>
              <w:rPr>
                <w:color w:val="auto"/>
              </w:rPr>
            </w:pPr>
            <w:r>
              <w:rPr>
                <w:color w:val="auto"/>
              </w:rPr>
              <w:t>202X 年 X 月 X 日</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4F0077BB">
            <w:pPr>
              <w:pStyle w:val="21"/>
              <w:rPr>
                <w:color w:val="auto"/>
              </w:rPr>
            </w:pPr>
            <w:r>
              <w:rPr>
                <w:color w:val="auto"/>
              </w:rPr>
              <w:t>XXX</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777A897B">
            <w:pPr>
              <w:pStyle w:val="21"/>
              <w:rPr>
                <w:color w:val="auto"/>
              </w:rPr>
            </w:pPr>
            <w:r>
              <w:rPr>
                <w:color w:val="auto"/>
              </w:rPr>
              <w:t>含折扣政策、付款方式</w:t>
            </w:r>
          </w:p>
        </w:tc>
      </w:tr>
      <w:tr w14:paraId="7A728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132CAC4">
            <w:pPr>
              <w:pStyle w:val="21"/>
              <w:rPr>
                <w:color w:val="auto"/>
              </w:rPr>
            </w:pPr>
            <w:r>
              <w:rPr>
                <w:color w:val="auto"/>
              </w:rPr>
              <w:t>3</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F33D2DC">
            <w:pPr>
              <w:pStyle w:val="21"/>
              <w:rPr>
                <w:color w:val="auto"/>
              </w:rPr>
            </w:pPr>
            <w:r>
              <w:rPr>
                <w:color w:val="auto"/>
              </w:rPr>
              <w:t>精密磨削加工进给量参数</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66382CCB">
            <w:pPr>
              <w:pStyle w:val="21"/>
              <w:rPr>
                <w:color w:val="auto"/>
              </w:rPr>
            </w:pPr>
            <w:r>
              <w:rPr>
                <w:color w:val="auto"/>
              </w:rPr>
              <w:t>重要秘密</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65DC78FC">
            <w:pPr>
              <w:pStyle w:val="21"/>
              <w:rPr>
                <w:color w:val="auto"/>
              </w:rPr>
            </w:pPr>
            <w:r>
              <w:rPr>
                <w:color w:val="auto"/>
              </w:rPr>
              <w:t>电子文档、纸质文件</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4E960905">
            <w:pPr>
              <w:pStyle w:val="21"/>
              <w:rPr>
                <w:color w:val="auto"/>
              </w:rPr>
            </w:pPr>
            <w:r>
              <w:rPr>
                <w:color w:val="auto"/>
              </w:rPr>
              <w:t>工艺技术员、操作工</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452F0FCB">
            <w:pPr>
              <w:pStyle w:val="21"/>
              <w:rPr>
                <w:color w:val="auto"/>
              </w:rPr>
            </w:pPr>
            <w:r>
              <w:rPr>
                <w:color w:val="auto"/>
              </w:rPr>
              <w:t>5 年</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3F640BBD">
            <w:pPr>
              <w:pStyle w:val="21"/>
              <w:rPr>
                <w:color w:val="auto"/>
              </w:rPr>
            </w:pPr>
            <w:r>
              <w:rPr>
                <w:color w:val="auto"/>
              </w:rPr>
              <w:t>技术迭代后</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4B0A20C">
            <w:pPr>
              <w:pStyle w:val="21"/>
              <w:rPr>
                <w:color w:val="auto"/>
              </w:rPr>
            </w:pPr>
            <w:r>
              <w:rPr>
                <w:color w:val="auto"/>
              </w:rPr>
              <w:t>202X 年 X 月 X 日</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768F59CC">
            <w:pPr>
              <w:pStyle w:val="21"/>
              <w:rPr>
                <w:color w:val="auto"/>
              </w:rPr>
            </w:pPr>
            <w:r>
              <w:rPr>
                <w:color w:val="auto"/>
              </w:rPr>
              <w:t>XXX</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7AC49D1A">
            <w:pPr>
              <w:pStyle w:val="21"/>
              <w:rPr>
                <w:color w:val="auto"/>
              </w:rPr>
            </w:pPr>
            <w:r>
              <w:rPr>
                <w:color w:val="auto"/>
              </w:rPr>
              <w:t>适用于型号 XXX 轴承</w:t>
            </w:r>
          </w:p>
        </w:tc>
      </w:tr>
      <w:tr w14:paraId="2A0CB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57713D4">
            <w:pPr>
              <w:pStyle w:val="21"/>
              <w:rPr>
                <w:color w:val="auto"/>
              </w:rPr>
            </w:pPr>
            <w:r>
              <w:rPr>
                <w:color w:val="auto"/>
              </w:rPr>
              <w:t>4</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7FCA316D">
            <w:pPr>
              <w:pStyle w:val="21"/>
              <w:rPr>
                <w:color w:val="auto"/>
              </w:rPr>
            </w:pPr>
            <w:r>
              <w:rPr>
                <w:color w:val="auto"/>
              </w:rPr>
              <w:t>轴承生产所涉钢材的技术协议</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8F4D970">
            <w:pPr>
              <w:pStyle w:val="21"/>
              <w:rPr>
                <w:color w:val="auto"/>
              </w:rPr>
            </w:pPr>
            <w:r>
              <w:rPr>
                <w:color w:val="auto"/>
              </w:rPr>
              <w:t>重要秘密</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5E1C34D9">
            <w:pPr>
              <w:pStyle w:val="21"/>
              <w:rPr>
                <w:color w:val="auto"/>
              </w:rPr>
            </w:pPr>
            <w:r>
              <w:rPr>
                <w:color w:val="auto"/>
              </w:rPr>
              <w:t>电子文档、纸质协议</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1BB63768">
            <w:pPr>
              <w:pStyle w:val="21"/>
              <w:rPr>
                <w:color w:val="auto"/>
              </w:rPr>
            </w:pPr>
            <w:r>
              <w:rPr>
                <w:color w:val="auto"/>
              </w:rPr>
              <w:t>采购经理、工艺技术员、原材料检验专员</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253B72E">
            <w:pPr>
              <w:pStyle w:val="21"/>
              <w:rPr>
                <w:color w:val="auto"/>
              </w:rPr>
            </w:pPr>
            <w:r>
              <w:rPr>
                <w:color w:val="auto"/>
              </w:rPr>
              <w:t>3 年</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32FFC0C1">
            <w:pPr>
              <w:pStyle w:val="21"/>
              <w:rPr>
                <w:color w:val="auto"/>
              </w:rPr>
            </w:pPr>
            <w:r>
              <w:rPr>
                <w:color w:val="auto"/>
              </w:rPr>
              <w:t>合作终止后 1 年</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3B9C3FB0">
            <w:pPr>
              <w:pStyle w:val="21"/>
              <w:rPr>
                <w:color w:val="auto"/>
              </w:rPr>
            </w:pPr>
            <w:r>
              <w:rPr>
                <w:color w:val="auto"/>
              </w:rPr>
              <w:t>202X 年 X 月 X 日</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7DEDB35D">
            <w:pPr>
              <w:pStyle w:val="21"/>
              <w:rPr>
                <w:color w:val="auto"/>
              </w:rPr>
            </w:pPr>
            <w:r>
              <w:rPr>
                <w:color w:val="auto"/>
              </w:rPr>
              <w:t>XXX</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55FB2A81">
            <w:pPr>
              <w:pStyle w:val="21"/>
              <w:rPr>
                <w:color w:val="auto"/>
              </w:rPr>
            </w:pPr>
            <w:r>
              <w:rPr>
                <w:color w:val="auto"/>
              </w:rPr>
              <w:t>含钢材成分、力学性能、验收标准</w:t>
            </w:r>
          </w:p>
        </w:tc>
      </w:tr>
      <w:tr w14:paraId="4CF3F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FD1B11B">
            <w:pPr>
              <w:pStyle w:val="21"/>
              <w:rPr>
                <w:color w:val="auto"/>
              </w:rPr>
            </w:pPr>
            <w:r>
              <w:rPr>
                <w:color w:val="auto"/>
              </w:rPr>
              <w:t>5</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1CA6B215">
            <w:pPr>
              <w:pStyle w:val="21"/>
              <w:rPr>
                <w:color w:val="auto"/>
              </w:rPr>
            </w:pPr>
            <w:r>
              <w:rPr>
                <w:color w:val="auto"/>
              </w:rPr>
              <w:t>锻造工装及模具（图纸、实物及库房）</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6437A6D">
            <w:pPr>
              <w:pStyle w:val="21"/>
              <w:rPr>
                <w:color w:val="auto"/>
              </w:rPr>
            </w:pPr>
            <w:r>
              <w:rPr>
                <w:color w:val="auto"/>
              </w:rPr>
              <w:t>核心秘密</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542212D1">
            <w:pPr>
              <w:pStyle w:val="21"/>
              <w:rPr>
                <w:color w:val="auto"/>
              </w:rPr>
            </w:pPr>
            <w:r>
              <w:rPr>
                <w:color w:val="auto"/>
              </w:rPr>
              <w:t>电子文档、纸质图纸、实物、库房台账</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240D7F8">
            <w:pPr>
              <w:pStyle w:val="21"/>
              <w:rPr>
                <w:color w:val="auto"/>
              </w:rPr>
            </w:pPr>
            <w:r>
              <w:rPr>
                <w:color w:val="auto"/>
              </w:rPr>
              <w:t>工艺技术员、工装模具管理员、库房管理员、锻造车间主管</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4456C69A">
            <w:pPr>
              <w:pStyle w:val="21"/>
              <w:rPr>
                <w:color w:val="auto"/>
              </w:rPr>
            </w:pPr>
            <w:r>
              <w:rPr>
                <w:color w:val="auto"/>
              </w:rPr>
              <w:t>长期</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91FF4F9">
            <w:pPr>
              <w:pStyle w:val="21"/>
              <w:rPr>
                <w:color w:val="auto"/>
              </w:rPr>
            </w:pPr>
            <w:r>
              <w:rPr>
                <w:color w:val="auto"/>
              </w:rPr>
              <w:t>工装模具报废且无替代需求</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21D85279">
            <w:pPr>
              <w:pStyle w:val="21"/>
              <w:rPr>
                <w:color w:val="auto"/>
              </w:rPr>
            </w:pPr>
            <w:r>
              <w:rPr>
                <w:color w:val="auto"/>
              </w:rPr>
              <w:t>202X 年 X 月 X 日</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712146E">
            <w:pPr>
              <w:pStyle w:val="21"/>
              <w:rPr>
                <w:color w:val="auto"/>
              </w:rPr>
            </w:pPr>
            <w:r>
              <w:rPr>
                <w:color w:val="auto"/>
              </w:rPr>
              <w:t>XXX</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3C58AAEE">
            <w:pPr>
              <w:pStyle w:val="21"/>
              <w:rPr>
                <w:color w:val="auto"/>
              </w:rPr>
            </w:pPr>
            <w:r>
              <w:rPr>
                <w:color w:val="auto"/>
              </w:rPr>
              <w:t>含工装模具设计参数、库房存储位置及领用记录</w:t>
            </w:r>
          </w:p>
        </w:tc>
      </w:tr>
      <w:tr w14:paraId="3E31B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655FE858">
            <w:pPr>
              <w:pStyle w:val="21"/>
              <w:rPr>
                <w:color w:val="auto"/>
              </w:rPr>
            </w:pPr>
            <w:r>
              <w:rPr>
                <w:color w:val="auto"/>
              </w:rPr>
              <w:t>6</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4B5A8F6B">
            <w:pPr>
              <w:pStyle w:val="21"/>
              <w:rPr>
                <w:color w:val="auto"/>
              </w:rPr>
            </w:pPr>
            <w:r>
              <w:rPr>
                <w:color w:val="auto"/>
              </w:rPr>
              <w:t>车加工专用工装及夹具（图纸、实物及库房）</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C0DDDC0">
            <w:pPr>
              <w:pStyle w:val="21"/>
              <w:rPr>
                <w:color w:val="auto"/>
              </w:rPr>
            </w:pPr>
            <w:r>
              <w:rPr>
                <w:color w:val="auto"/>
              </w:rPr>
              <w:t>核心秘密</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594B14EF">
            <w:pPr>
              <w:pStyle w:val="21"/>
              <w:rPr>
                <w:color w:val="auto"/>
              </w:rPr>
            </w:pPr>
            <w:r>
              <w:rPr>
                <w:color w:val="auto"/>
              </w:rPr>
              <w:t>电子文档、纸质图纸、实物、库房台账</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1BCA7A20">
            <w:pPr>
              <w:pStyle w:val="21"/>
              <w:rPr>
                <w:color w:val="auto"/>
              </w:rPr>
            </w:pPr>
            <w:r>
              <w:rPr>
                <w:color w:val="auto"/>
              </w:rPr>
              <w:t>工艺技术员、车加工车间主管、工装 / 夹具管理员、库房管理员</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775BACBF">
            <w:pPr>
              <w:pStyle w:val="21"/>
              <w:rPr>
                <w:color w:val="auto"/>
              </w:rPr>
            </w:pPr>
            <w:r>
              <w:rPr>
                <w:color w:val="auto"/>
              </w:rPr>
              <w:t>长期</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4A3DD5E3">
            <w:pPr>
              <w:pStyle w:val="21"/>
              <w:rPr>
                <w:color w:val="auto"/>
              </w:rPr>
            </w:pPr>
            <w:r>
              <w:rPr>
                <w:color w:val="auto"/>
              </w:rPr>
              <w:t>专用工装 / 夹具报废且对应车型停产</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12D10F12">
            <w:pPr>
              <w:pStyle w:val="21"/>
              <w:rPr>
                <w:color w:val="auto"/>
              </w:rPr>
            </w:pPr>
            <w:r>
              <w:rPr>
                <w:color w:val="auto"/>
              </w:rPr>
              <w:t>202X 年 X 月 X 日</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108160A5">
            <w:pPr>
              <w:pStyle w:val="21"/>
              <w:rPr>
                <w:color w:val="auto"/>
              </w:rPr>
            </w:pPr>
            <w:r>
              <w:rPr>
                <w:color w:val="auto"/>
              </w:rPr>
              <w:t>XXX</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7B8EB382">
            <w:pPr>
              <w:pStyle w:val="21"/>
              <w:rPr>
                <w:color w:val="auto"/>
              </w:rPr>
            </w:pPr>
            <w:r>
              <w:rPr>
                <w:color w:val="auto"/>
              </w:rPr>
              <w:t>含工装定位精度、夹具夹持参数</w:t>
            </w:r>
          </w:p>
        </w:tc>
      </w:tr>
      <w:tr w14:paraId="082AD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17AFA032">
            <w:pPr>
              <w:pStyle w:val="21"/>
              <w:rPr>
                <w:color w:val="auto"/>
              </w:rPr>
            </w:pPr>
            <w:r>
              <w:rPr>
                <w:color w:val="auto"/>
              </w:rPr>
              <w:t>7</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2EDD0CE4">
            <w:pPr>
              <w:pStyle w:val="21"/>
              <w:rPr>
                <w:color w:val="auto"/>
              </w:rPr>
            </w:pPr>
            <w:r>
              <w:rPr>
                <w:color w:val="auto"/>
              </w:rPr>
              <w:t>锻造温度闭环控制的技术资料</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B105EEA">
            <w:pPr>
              <w:pStyle w:val="21"/>
              <w:rPr>
                <w:color w:val="auto"/>
              </w:rPr>
            </w:pPr>
            <w:r>
              <w:rPr>
                <w:color w:val="auto"/>
              </w:rPr>
              <w:t>核心秘密</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1FCAA990">
            <w:pPr>
              <w:pStyle w:val="21"/>
              <w:rPr>
                <w:color w:val="auto"/>
              </w:rPr>
            </w:pPr>
            <w:r>
              <w:rPr>
                <w:color w:val="auto"/>
              </w:rPr>
              <w:t>电子文档、纸质资料、生产控制系统参数文件</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6F8290DE">
            <w:pPr>
              <w:pStyle w:val="21"/>
              <w:rPr>
                <w:color w:val="auto"/>
              </w:rPr>
            </w:pPr>
            <w:r>
              <w:rPr>
                <w:color w:val="auto"/>
              </w:rPr>
              <w:t>工艺技术员、生产主管、设备工程师</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49295A76">
            <w:pPr>
              <w:pStyle w:val="21"/>
              <w:rPr>
                <w:color w:val="auto"/>
              </w:rPr>
            </w:pPr>
            <w:r>
              <w:rPr>
                <w:color w:val="auto"/>
              </w:rPr>
              <w:t>长期</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1C632836">
            <w:pPr>
              <w:pStyle w:val="21"/>
              <w:rPr>
                <w:color w:val="auto"/>
              </w:rPr>
            </w:pPr>
            <w:r>
              <w:rPr>
                <w:color w:val="auto"/>
              </w:rPr>
              <w:t>技术公开或替代工艺启用</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24D91D10">
            <w:pPr>
              <w:pStyle w:val="21"/>
              <w:rPr>
                <w:color w:val="auto"/>
              </w:rPr>
            </w:pPr>
            <w:r>
              <w:rPr>
                <w:color w:val="auto"/>
              </w:rPr>
              <w:t>202X 年 X 月 X 日</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1B69A55F">
            <w:pPr>
              <w:pStyle w:val="21"/>
              <w:rPr>
                <w:color w:val="auto"/>
              </w:rPr>
            </w:pPr>
            <w:r>
              <w:rPr>
                <w:color w:val="auto"/>
              </w:rPr>
              <w:t>XXX</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2729B2A9">
            <w:pPr>
              <w:pStyle w:val="21"/>
              <w:rPr>
                <w:color w:val="auto"/>
              </w:rPr>
            </w:pPr>
            <w:r>
              <w:rPr>
                <w:color w:val="auto"/>
              </w:rPr>
              <w:t>含温度传感器校准数据、闭环控制算法</w:t>
            </w:r>
          </w:p>
        </w:tc>
      </w:tr>
      <w:tr w14:paraId="26ACB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44D6BCF1">
            <w:pPr>
              <w:pStyle w:val="21"/>
              <w:rPr>
                <w:color w:val="auto"/>
              </w:rPr>
            </w:pPr>
            <w:r>
              <w:rPr>
                <w:color w:val="auto"/>
              </w:rPr>
              <w:t>...</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6CDFEFE2">
            <w:pPr>
              <w:pStyle w:val="21"/>
              <w:rPr>
                <w:color w:val="auto"/>
              </w:rPr>
            </w:pPr>
            <w:r>
              <w:rPr>
                <w:color w:val="auto"/>
              </w:rPr>
              <w:t>...</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9E79B3E">
            <w:pPr>
              <w:pStyle w:val="21"/>
              <w:rPr>
                <w:color w:val="auto"/>
              </w:rPr>
            </w:pPr>
            <w:r>
              <w:rPr>
                <w:color w:val="auto"/>
              </w:rPr>
              <w:t>...</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656C5985">
            <w:pPr>
              <w:pStyle w:val="21"/>
              <w:rPr>
                <w:color w:val="auto"/>
              </w:rPr>
            </w:pPr>
            <w:r>
              <w:rPr>
                <w:color w:val="auto"/>
              </w:rPr>
              <w:t>...</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08020C67">
            <w:pPr>
              <w:pStyle w:val="21"/>
              <w:rPr>
                <w:color w:val="auto"/>
              </w:rPr>
            </w:pPr>
            <w:r>
              <w:rPr>
                <w:color w:val="auto"/>
              </w:rPr>
              <w:t>...</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256F777D">
            <w:pPr>
              <w:pStyle w:val="21"/>
              <w:rPr>
                <w:color w:val="auto"/>
              </w:rPr>
            </w:pPr>
            <w:r>
              <w:rPr>
                <w:color w:val="auto"/>
              </w:rPr>
              <w:t>...</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1B261CAE">
            <w:pPr>
              <w:pStyle w:val="21"/>
              <w:rPr>
                <w:color w:val="auto"/>
              </w:rPr>
            </w:pPr>
            <w:r>
              <w:rPr>
                <w:color w:val="auto"/>
              </w:rPr>
              <w:t>...</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22F5B623">
            <w:pPr>
              <w:pStyle w:val="21"/>
              <w:rPr>
                <w:color w:val="auto"/>
              </w:rPr>
            </w:pPr>
            <w:r>
              <w:rPr>
                <w:color w:val="auto"/>
              </w:rPr>
              <w:t>...</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1C2D8DE2">
            <w:pPr>
              <w:pStyle w:val="21"/>
              <w:rPr>
                <w:color w:val="auto"/>
              </w:rPr>
            </w:pPr>
            <w:r>
              <w:rPr>
                <w:color w:val="auto"/>
              </w:rPr>
              <w:t>...</w:t>
            </w:r>
          </w:p>
        </w:tc>
        <w:tc>
          <w:tcPr>
            <w:tcW w:w="2760" w:type="dxa"/>
            <w:tcBorders>
              <w:top w:val="single" w:color="DEE0E3" w:sz="0" w:space="0"/>
              <w:left w:val="single" w:color="DEE0E3" w:sz="0" w:space="0"/>
              <w:bottom w:val="single" w:color="DEE0E3" w:sz="0" w:space="0"/>
              <w:right w:val="single" w:color="DEE0E3" w:sz="0" w:space="0"/>
            </w:tcBorders>
            <w:tcMar>
              <w:top w:w="60" w:type="dxa"/>
              <w:left w:w="120" w:type="dxa"/>
              <w:bottom w:w="30" w:type="dxa"/>
              <w:right w:w="120" w:type="dxa"/>
            </w:tcMar>
          </w:tcPr>
          <w:p w14:paraId="5F42552B">
            <w:pPr>
              <w:pStyle w:val="21"/>
              <w:rPr>
                <w:color w:val="auto"/>
              </w:rPr>
            </w:pPr>
            <w:r>
              <w:rPr>
                <w:color w:val="auto"/>
              </w:rPr>
              <w:t>...</w:t>
            </w:r>
          </w:p>
        </w:tc>
      </w:tr>
    </w:tbl>
    <w:p w14:paraId="041F4232">
      <w:pPr>
        <w:rPr>
          <w:color w:val="auto"/>
        </w:rPr>
      </w:pPr>
    </w:p>
    <w:bookmarkEnd w:id="132"/>
    <w:p w14:paraId="765EDFB9">
      <w:pPr>
        <w:spacing w:before="300" w:after="120" w:line="288" w:lineRule="auto"/>
        <w:ind w:left="0"/>
        <w:jc w:val="left"/>
        <w:outlineLvl w:val="9"/>
        <w:rPr>
          <w:rFonts w:ascii="Arial" w:hAnsi="Arial" w:eastAsia="等线" w:cs="Arial"/>
          <w:b/>
          <w:bCs/>
          <w:color w:val="auto"/>
          <w:sz w:val="30"/>
          <w:szCs w:val="30"/>
        </w:rPr>
      </w:pPr>
    </w:p>
    <w:p w14:paraId="6970D548">
      <w:pPr>
        <w:spacing w:before="300" w:after="120" w:line="288" w:lineRule="auto"/>
        <w:ind w:left="0"/>
        <w:jc w:val="left"/>
        <w:outlineLvl w:val="9"/>
        <w:rPr>
          <w:rFonts w:ascii="Arial" w:hAnsi="Arial" w:eastAsia="等线" w:cs="Arial"/>
          <w:b/>
          <w:bCs/>
          <w:color w:val="auto"/>
          <w:sz w:val="30"/>
          <w:szCs w:val="30"/>
        </w:rPr>
      </w:pPr>
    </w:p>
    <w:p w14:paraId="004B8204">
      <w:pPr>
        <w:spacing w:before="300" w:after="120" w:line="288" w:lineRule="auto"/>
        <w:ind w:left="0"/>
        <w:jc w:val="left"/>
        <w:outlineLvl w:val="9"/>
        <w:rPr>
          <w:rFonts w:ascii="Arial" w:hAnsi="Arial" w:eastAsia="等线" w:cs="Arial"/>
          <w:b/>
          <w:bCs/>
          <w:color w:val="auto"/>
          <w:sz w:val="30"/>
          <w:szCs w:val="30"/>
        </w:rPr>
      </w:pPr>
    </w:p>
    <w:p w14:paraId="11C512D1">
      <w:pPr>
        <w:spacing w:before="300" w:after="120" w:line="288" w:lineRule="auto"/>
        <w:ind w:left="0"/>
        <w:jc w:val="left"/>
        <w:outlineLvl w:val="9"/>
        <w:rPr>
          <w:rFonts w:ascii="Arial" w:hAnsi="Arial" w:eastAsia="等线" w:cs="Arial"/>
          <w:b/>
          <w:bCs/>
          <w:color w:val="auto"/>
          <w:sz w:val="30"/>
          <w:szCs w:val="30"/>
        </w:rPr>
      </w:pPr>
    </w:p>
    <w:p w14:paraId="120600E6">
      <w:pPr>
        <w:spacing w:before="300" w:after="120" w:line="288" w:lineRule="auto"/>
        <w:ind w:left="0"/>
        <w:jc w:val="left"/>
        <w:outlineLvl w:val="9"/>
        <w:rPr>
          <w:rFonts w:ascii="Arial" w:hAnsi="Arial" w:eastAsia="等线" w:cs="Arial"/>
          <w:b/>
          <w:bCs/>
          <w:color w:val="auto"/>
          <w:sz w:val="30"/>
          <w:szCs w:val="30"/>
        </w:rPr>
      </w:pPr>
    </w:p>
    <w:p w14:paraId="29B5CF2F">
      <w:pPr>
        <w:spacing w:before="300" w:after="120" w:line="288" w:lineRule="auto"/>
        <w:ind w:left="0"/>
        <w:jc w:val="left"/>
        <w:outlineLvl w:val="9"/>
        <w:rPr>
          <w:rFonts w:ascii="Arial" w:hAnsi="Arial" w:eastAsia="等线" w:cs="Arial"/>
          <w:b/>
          <w:bCs/>
          <w:color w:val="auto"/>
          <w:sz w:val="30"/>
          <w:szCs w:val="30"/>
        </w:rPr>
      </w:pPr>
    </w:p>
    <w:p w14:paraId="12B879EB">
      <w:pPr>
        <w:spacing w:before="300" w:after="120" w:line="288" w:lineRule="auto"/>
        <w:ind w:left="0"/>
        <w:jc w:val="left"/>
        <w:outlineLvl w:val="9"/>
        <w:rPr>
          <w:rFonts w:ascii="Arial" w:hAnsi="Arial" w:eastAsia="等线" w:cs="Arial"/>
          <w:b/>
          <w:bCs/>
          <w:color w:val="auto"/>
          <w:sz w:val="30"/>
          <w:szCs w:val="30"/>
        </w:rPr>
      </w:pPr>
    </w:p>
    <w:p w14:paraId="0F5473E9">
      <w:pPr>
        <w:spacing w:before="300" w:after="120" w:line="288" w:lineRule="auto"/>
        <w:ind w:left="0"/>
        <w:jc w:val="left"/>
        <w:outlineLvl w:val="9"/>
        <w:rPr>
          <w:rFonts w:ascii="Arial" w:hAnsi="Arial" w:eastAsia="等线" w:cs="Arial"/>
          <w:b/>
          <w:bCs/>
          <w:color w:val="auto"/>
          <w:sz w:val="30"/>
          <w:szCs w:val="30"/>
        </w:rPr>
      </w:pPr>
    </w:p>
    <w:p w14:paraId="200FDF81">
      <w:pPr>
        <w:spacing w:before="300" w:after="120" w:line="288" w:lineRule="auto"/>
        <w:ind w:left="0"/>
        <w:jc w:val="left"/>
        <w:outlineLvl w:val="9"/>
        <w:rPr>
          <w:rFonts w:ascii="Arial" w:hAnsi="Arial" w:eastAsia="等线" w:cs="Arial"/>
          <w:b/>
          <w:bCs/>
          <w:color w:val="auto"/>
          <w:sz w:val="30"/>
          <w:szCs w:val="30"/>
        </w:rPr>
      </w:pPr>
    </w:p>
    <w:p w14:paraId="61FBB910">
      <w:pPr>
        <w:pStyle w:val="4"/>
        <w:ind w:left="0" w:leftChars="0"/>
        <w:outlineLvl w:val="0"/>
        <w:rPr>
          <w:color w:val="auto"/>
        </w:rPr>
      </w:pPr>
      <w:bookmarkStart w:id="133" w:name="_Toc16732"/>
      <w:r>
        <w:rPr>
          <w:color w:val="auto"/>
        </w:rPr>
        <w:t>附录五 商业秘密保密协议参考文本（员工版）</w:t>
      </w:r>
      <w:bookmarkEnd w:id="133"/>
    </w:p>
    <w:p w14:paraId="6D89DBA8">
      <w:pPr>
        <w:pStyle w:val="5"/>
        <w:ind w:left="0" w:leftChars="0"/>
        <w:outlineLvl w:val="9"/>
        <w:rPr>
          <w:color w:val="auto"/>
        </w:rPr>
      </w:pPr>
      <w:r>
        <w:rPr>
          <w:color w:val="auto"/>
        </w:rPr>
        <w:t>甲方（用人单位）：</w:t>
      </w:r>
      <w:r>
        <w:rPr>
          <w:rFonts w:hint="eastAsia"/>
          <w:color w:val="auto"/>
          <w:lang w:eastAsia="zh-CN"/>
        </w:rPr>
        <w:t>XX市</w:t>
      </w:r>
      <w:r>
        <w:rPr>
          <w:color w:val="auto"/>
        </w:rPr>
        <w:t xml:space="preserve"> XX 轴承有限公司</w:t>
      </w:r>
    </w:p>
    <w:p w14:paraId="6054946E">
      <w:pPr>
        <w:pStyle w:val="21"/>
        <w:rPr>
          <w:color w:val="auto"/>
        </w:rPr>
      </w:pPr>
      <w:r>
        <w:rPr>
          <w:color w:val="auto"/>
        </w:rPr>
        <w:t>法定代表人：XXX</w:t>
      </w:r>
    </w:p>
    <w:p w14:paraId="72D6C5A3">
      <w:pPr>
        <w:pStyle w:val="21"/>
        <w:rPr>
          <w:color w:val="auto"/>
        </w:rPr>
      </w:pPr>
      <w:r>
        <w:rPr>
          <w:color w:val="auto"/>
        </w:rPr>
        <w:t>统一社会信用代码：XXX</w:t>
      </w:r>
    </w:p>
    <w:p w14:paraId="03CE8740">
      <w:pPr>
        <w:pStyle w:val="21"/>
        <w:rPr>
          <w:color w:val="auto"/>
        </w:rPr>
      </w:pPr>
      <w:r>
        <w:rPr>
          <w:color w:val="auto"/>
        </w:rPr>
        <w:t>地址：XXX</w:t>
      </w:r>
    </w:p>
    <w:p w14:paraId="25132708">
      <w:pPr>
        <w:pStyle w:val="21"/>
        <w:rPr>
          <w:color w:val="auto"/>
        </w:rPr>
      </w:pPr>
      <w:r>
        <w:rPr>
          <w:color w:val="auto"/>
        </w:rPr>
        <w:t>联系方式：XXX</w:t>
      </w:r>
    </w:p>
    <w:p w14:paraId="7589A0B4">
      <w:pPr>
        <w:pStyle w:val="5"/>
        <w:ind w:left="0" w:leftChars="0"/>
        <w:outlineLvl w:val="9"/>
        <w:rPr>
          <w:color w:val="auto"/>
        </w:rPr>
      </w:pPr>
      <w:r>
        <w:rPr>
          <w:color w:val="auto"/>
        </w:rPr>
        <w:t>乙方（劳动者）：XXX</w:t>
      </w:r>
    </w:p>
    <w:p w14:paraId="500C7DDD">
      <w:pPr>
        <w:pStyle w:val="21"/>
        <w:rPr>
          <w:color w:val="auto"/>
        </w:rPr>
      </w:pPr>
      <w:r>
        <w:rPr>
          <w:color w:val="auto"/>
        </w:rPr>
        <w:t>身份证号码：XXX</w:t>
      </w:r>
    </w:p>
    <w:p w14:paraId="3FEF28F6">
      <w:pPr>
        <w:pStyle w:val="21"/>
        <w:rPr>
          <w:color w:val="auto"/>
        </w:rPr>
      </w:pPr>
      <w:r>
        <w:rPr>
          <w:color w:val="auto"/>
        </w:rPr>
        <w:t>住址：XXX</w:t>
      </w:r>
    </w:p>
    <w:p w14:paraId="5AABEF05">
      <w:pPr>
        <w:pStyle w:val="21"/>
        <w:rPr>
          <w:color w:val="auto"/>
        </w:rPr>
      </w:pPr>
      <w:r>
        <w:rPr>
          <w:color w:val="auto"/>
        </w:rPr>
        <w:t>联系方式：XXX</w:t>
      </w:r>
    </w:p>
    <w:p w14:paraId="5EFC2749">
      <w:pPr>
        <w:pStyle w:val="21"/>
        <w:rPr>
          <w:color w:val="auto"/>
        </w:rPr>
      </w:pPr>
      <w:r>
        <w:rPr>
          <w:color w:val="auto"/>
        </w:rPr>
        <w:t>甲乙双方根据《中华人民共和国反不正当竞争法》《中华人民共和国劳动合同法》等法律法规，本着平等自愿、协商一致的原则，就乙方在职期间及离职后保守甲方商业秘密事宜，签订本协议，以资共同遵守。</w:t>
      </w:r>
    </w:p>
    <w:p w14:paraId="6F7CF45D">
      <w:pPr>
        <w:pStyle w:val="5"/>
        <w:ind w:left="0" w:leftChars="0"/>
        <w:outlineLvl w:val="9"/>
        <w:rPr>
          <w:color w:val="auto"/>
        </w:rPr>
      </w:pPr>
      <w:bookmarkStart w:id="134" w:name="_Toc4387"/>
      <w:r>
        <w:rPr>
          <w:color w:val="auto"/>
        </w:rPr>
        <w:t>第一条 商业秘密范围</w:t>
      </w:r>
      <w:bookmarkEnd w:id="134"/>
    </w:p>
    <w:p w14:paraId="20D4D15C">
      <w:pPr>
        <w:pStyle w:val="21"/>
        <w:rPr>
          <w:color w:val="auto"/>
        </w:rPr>
      </w:pPr>
      <w:r>
        <w:rPr>
          <w:color w:val="auto"/>
        </w:rPr>
        <w:t>甲方商业秘密包括但不限于本协议附录《商业秘密清单》所列内容，具体分为技术信息和经营信息：</w:t>
      </w:r>
    </w:p>
    <w:p w14:paraId="2E3DB563">
      <w:pPr>
        <w:pStyle w:val="21"/>
        <w:numPr>
          <w:ilvl w:val="0"/>
          <w:numId w:val="58"/>
        </w:numPr>
        <w:rPr>
          <w:color w:val="auto"/>
        </w:rPr>
      </w:pPr>
      <w:r>
        <w:rPr>
          <w:color w:val="auto"/>
        </w:rPr>
        <w:t>技术信息：轴承设计图纸、制造工艺参数、检测技术、专用设备技术等；</w:t>
      </w:r>
    </w:p>
    <w:p w14:paraId="181B6149">
      <w:pPr>
        <w:pStyle w:val="21"/>
        <w:numPr>
          <w:ilvl w:val="0"/>
          <w:numId w:val="58"/>
        </w:numPr>
        <w:rPr>
          <w:color w:val="auto"/>
        </w:rPr>
      </w:pPr>
      <w:r>
        <w:rPr>
          <w:color w:val="auto"/>
        </w:rPr>
        <w:t>经营信息：客户信息、供应链信息、市场策略、财务信息等。</w:t>
      </w:r>
    </w:p>
    <w:p w14:paraId="31B1C108">
      <w:pPr>
        <w:pStyle w:val="5"/>
        <w:ind w:left="0" w:leftChars="0"/>
        <w:outlineLvl w:val="9"/>
        <w:rPr>
          <w:color w:val="auto"/>
        </w:rPr>
      </w:pPr>
      <w:bookmarkStart w:id="135" w:name="_Toc14635"/>
      <w:r>
        <w:rPr>
          <w:color w:val="auto"/>
        </w:rPr>
        <w:t>第二条 乙方保密义务</w:t>
      </w:r>
      <w:bookmarkEnd w:id="135"/>
    </w:p>
    <w:p w14:paraId="7195E9C0">
      <w:pPr>
        <w:pStyle w:val="21"/>
        <w:numPr>
          <w:ilvl w:val="0"/>
          <w:numId w:val="59"/>
        </w:numPr>
        <w:ind w:left="288" w:leftChars="0" w:hanging="288" w:firstLineChars="0"/>
        <w:outlineLvl w:val="0"/>
        <w:rPr>
          <w:color w:val="auto"/>
        </w:rPr>
      </w:pPr>
      <w:bookmarkStart w:id="136" w:name="_Toc28776"/>
      <w:r>
        <w:rPr>
          <w:color w:val="auto"/>
        </w:rPr>
        <w:t>在职期间：</w:t>
      </w:r>
      <w:bookmarkEnd w:id="136"/>
    </w:p>
    <w:p w14:paraId="2A609D0E">
      <w:pPr>
        <w:pStyle w:val="21"/>
        <w:rPr>
          <w:color w:val="auto"/>
        </w:rPr>
      </w:pPr>
      <w:r>
        <w:rPr>
          <w:color w:val="auto"/>
        </w:rPr>
        <w:t>（1）严格遵守甲方商业秘密保护制度，不泄露、不使用、不允许他人使用甲方商业秘密；</w:t>
      </w:r>
    </w:p>
    <w:p w14:paraId="6C89CA39">
      <w:pPr>
        <w:pStyle w:val="21"/>
        <w:rPr>
          <w:color w:val="auto"/>
        </w:rPr>
      </w:pPr>
      <w:r>
        <w:rPr>
          <w:color w:val="auto"/>
        </w:rPr>
        <w:t>（2）不私自拷贝、拍摄、记录甲方商业秘密，不将涉密载体带离涉密区域；</w:t>
      </w:r>
    </w:p>
    <w:p w14:paraId="703D627A">
      <w:pPr>
        <w:pStyle w:val="21"/>
        <w:rPr>
          <w:color w:val="auto"/>
        </w:rPr>
      </w:pPr>
      <w:r>
        <w:rPr>
          <w:color w:val="auto"/>
        </w:rPr>
        <w:t>（3）发现商业秘密泄露或潜在泄露风险，立即向甲方保密管理部报告；</w:t>
      </w:r>
    </w:p>
    <w:p w14:paraId="289EFDFC">
      <w:pPr>
        <w:pStyle w:val="21"/>
        <w:numPr>
          <w:ilvl w:val="0"/>
          <w:numId w:val="59"/>
        </w:numPr>
        <w:ind w:left="288" w:leftChars="0" w:hanging="288" w:firstLineChars="0"/>
        <w:outlineLvl w:val="0"/>
        <w:rPr>
          <w:color w:val="auto"/>
        </w:rPr>
      </w:pPr>
      <w:bookmarkStart w:id="137" w:name="_Toc7267"/>
      <w:r>
        <w:rPr>
          <w:color w:val="auto"/>
        </w:rPr>
        <w:t>离职后：</w:t>
      </w:r>
      <w:bookmarkEnd w:id="137"/>
    </w:p>
    <w:p w14:paraId="3E766D32">
      <w:pPr>
        <w:pStyle w:val="21"/>
        <w:rPr>
          <w:color w:val="auto"/>
        </w:rPr>
      </w:pPr>
      <w:r>
        <w:rPr>
          <w:color w:val="auto"/>
        </w:rPr>
        <w:t>（1）继续承担保密义务，直至甲方商业秘密公开或无价值；</w:t>
      </w:r>
    </w:p>
    <w:p w14:paraId="6EC2D560">
      <w:pPr>
        <w:pStyle w:val="21"/>
        <w:rPr>
          <w:color w:val="auto"/>
        </w:rPr>
      </w:pPr>
      <w:r>
        <w:rPr>
          <w:color w:val="auto"/>
        </w:rPr>
        <w:t>（2）不入职与甲方有竞争关系的轴承企业（如</w:t>
      </w:r>
      <w:r>
        <w:rPr>
          <w:rFonts w:hint="eastAsia"/>
          <w:color w:val="auto"/>
          <w:lang w:eastAsia="zh-CN"/>
        </w:rPr>
        <w:t>XX市</w:t>
      </w:r>
      <w:r>
        <w:rPr>
          <w:color w:val="auto"/>
        </w:rPr>
        <w:t>及周边 300 公里内轴承制造企业），不自行经营与甲方同类业务（竞业限制义务另行约定）；</w:t>
      </w:r>
    </w:p>
    <w:p w14:paraId="5E3692E6">
      <w:pPr>
        <w:pStyle w:val="21"/>
        <w:rPr>
          <w:color w:val="auto"/>
        </w:rPr>
      </w:pPr>
      <w:r>
        <w:rPr>
          <w:color w:val="auto"/>
        </w:rPr>
        <w:t>（3）返还所有涉密载体，不得留存复印件或备份。</w:t>
      </w:r>
    </w:p>
    <w:p w14:paraId="265DE096">
      <w:pPr>
        <w:pStyle w:val="5"/>
        <w:ind w:left="0" w:leftChars="0"/>
        <w:outlineLvl w:val="9"/>
        <w:rPr>
          <w:color w:val="auto"/>
        </w:rPr>
      </w:pPr>
      <w:bookmarkStart w:id="138" w:name="_Toc17480"/>
      <w:r>
        <w:rPr>
          <w:color w:val="auto"/>
        </w:rPr>
        <w:t>第三条 保密期限</w:t>
      </w:r>
      <w:bookmarkEnd w:id="138"/>
    </w:p>
    <w:p w14:paraId="02D9D9FC">
      <w:pPr>
        <w:pStyle w:val="21"/>
        <w:rPr>
          <w:color w:val="auto"/>
        </w:rPr>
      </w:pPr>
      <w:r>
        <w:rPr>
          <w:color w:val="auto"/>
        </w:rPr>
        <w:t>本协议保密期限自签订之日起至甲方商业秘密公开或无价值之日止；若乙方签订《竞业限制协议》，竞业限制期限内保密义务继续有效。</w:t>
      </w:r>
    </w:p>
    <w:p w14:paraId="2977854A">
      <w:pPr>
        <w:pStyle w:val="5"/>
        <w:ind w:left="0" w:leftChars="0"/>
        <w:outlineLvl w:val="9"/>
        <w:rPr>
          <w:color w:val="auto"/>
        </w:rPr>
      </w:pPr>
      <w:bookmarkStart w:id="139" w:name="_Toc9802"/>
      <w:r>
        <w:rPr>
          <w:color w:val="auto"/>
        </w:rPr>
        <w:t>第四条 违约责任</w:t>
      </w:r>
      <w:bookmarkEnd w:id="139"/>
    </w:p>
    <w:p w14:paraId="74CAC69B">
      <w:pPr>
        <w:pStyle w:val="21"/>
        <w:numPr>
          <w:ilvl w:val="0"/>
          <w:numId w:val="60"/>
        </w:numPr>
        <w:rPr>
          <w:color w:val="auto"/>
        </w:rPr>
      </w:pPr>
      <w:r>
        <w:rPr>
          <w:color w:val="auto"/>
        </w:rPr>
        <w:t>若乙方违反本协议约定，甲方有权要求乙方立即停止违约行为，赔偿甲方经济损失（包括直接损失、间接损失及维权费用）；</w:t>
      </w:r>
    </w:p>
    <w:p w14:paraId="089EDDB5">
      <w:pPr>
        <w:pStyle w:val="21"/>
        <w:numPr>
          <w:ilvl w:val="0"/>
          <w:numId w:val="60"/>
        </w:numPr>
        <w:rPr>
          <w:color w:val="auto"/>
        </w:rPr>
      </w:pPr>
      <w:r>
        <w:rPr>
          <w:color w:val="auto"/>
        </w:rPr>
        <w:t>乙方恶意泄露核心商业秘密，情节严重的，甲方有权解除劳动合同，并要求乙方支付违约金（金额为乙方离职前 12 个月平均工资的 2-5 倍）；构成犯罪的，移交司法机关处理。</w:t>
      </w:r>
    </w:p>
    <w:p w14:paraId="1E415962">
      <w:pPr>
        <w:pStyle w:val="5"/>
        <w:ind w:left="0" w:leftChars="0"/>
        <w:outlineLvl w:val="9"/>
        <w:rPr>
          <w:color w:val="auto"/>
        </w:rPr>
      </w:pPr>
      <w:bookmarkStart w:id="140" w:name="_Toc7078"/>
      <w:r>
        <w:rPr>
          <w:color w:val="auto"/>
        </w:rPr>
        <w:t>第五条 争议解决</w:t>
      </w:r>
      <w:bookmarkEnd w:id="140"/>
    </w:p>
    <w:p w14:paraId="4962AF15">
      <w:pPr>
        <w:pStyle w:val="21"/>
        <w:rPr>
          <w:color w:val="auto"/>
        </w:rPr>
      </w:pPr>
      <w:r>
        <w:rPr>
          <w:color w:val="auto"/>
        </w:rPr>
        <w:t>因履行本协议发生的争议，双方协商解决；协商不成的，提交甲方所在地劳动争议仲裁委员会仲裁，对仲裁结果不服的，可向甲方所在地法院提起诉讼。</w:t>
      </w:r>
    </w:p>
    <w:p w14:paraId="539364D5">
      <w:pPr>
        <w:pStyle w:val="5"/>
        <w:ind w:left="0" w:leftChars="0"/>
        <w:outlineLvl w:val="9"/>
        <w:rPr>
          <w:color w:val="auto"/>
        </w:rPr>
      </w:pPr>
      <w:bookmarkStart w:id="141" w:name="_Toc12314"/>
      <w:r>
        <w:rPr>
          <w:color w:val="auto"/>
        </w:rPr>
        <w:t>第六条 其他</w:t>
      </w:r>
      <w:bookmarkEnd w:id="141"/>
    </w:p>
    <w:p w14:paraId="37F3D81F">
      <w:pPr>
        <w:pStyle w:val="21"/>
        <w:numPr>
          <w:ilvl w:val="0"/>
          <w:numId w:val="61"/>
        </w:numPr>
        <w:rPr>
          <w:color w:val="auto"/>
        </w:rPr>
      </w:pPr>
      <w:r>
        <w:rPr>
          <w:color w:val="auto"/>
        </w:rPr>
        <w:t>本协议是劳动合同的组成部分，与劳动合同具有同等法律效力；</w:t>
      </w:r>
    </w:p>
    <w:p w14:paraId="65699C76">
      <w:pPr>
        <w:pStyle w:val="21"/>
        <w:numPr>
          <w:ilvl w:val="0"/>
          <w:numId w:val="61"/>
        </w:numPr>
        <w:rPr>
          <w:color w:val="auto"/>
        </w:rPr>
      </w:pPr>
      <w:r>
        <w:rPr>
          <w:color w:val="auto"/>
        </w:rPr>
        <w:t>本协议一式两份，甲乙双方各执一份，自双方签字盖章之日起生效。</w:t>
      </w:r>
    </w:p>
    <w:p w14:paraId="153D897C">
      <w:pPr>
        <w:pStyle w:val="21"/>
        <w:rPr>
          <w:color w:val="auto"/>
        </w:rPr>
      </w:pPr>
      <w:r>
        <w:rPr>
          <w:color w:val="auto"/>
        </w:rPr>
        <w:t>甲方（盖章）：XXX</w:t>
      </w:r>
    </w:p>
    <w:p w14:paraId="1A75A955">
      <w:pPr>
        <w:pStyle w:val="21"/>
        <w:rPr>
          <w:color w:val="auto"/>
        </w:rPr>
      </w:pPr>
      <w:r>
        <w:rPr>
          <w:color w:val="auto"/>
        </w:rPr>
        <w:t>法定代表人 / 授权代表（签字）：XXX</w:t>
      </w:r>
    </w:p>
    <w:p w14:paraId="6E0F5F6D">
      <w:pPr>
        <w:pStyle w:val="21"/>
        <w:rPr>
          <w:color w:val="auto"/>
        </w:rPr>
      </w:pPr>
      <w:r>
        <w:rPr>
          <w:color w:val="auto"/>
        </w:rPr>
        <w:t>日期：202X 年 X 月 X 日</w:t>
      </w:r>
    </w:p>
    <w:p w14:paraId="02BB2BB0">
      <w:pPr>
        <w:pStyle w:val="21"/>
        <w:rPr>
          <w:color w:val="auto"/>
        </w:rPr>
      </w:pPr>
      <w:r>
        <w:rPr>
          <w:color w:val="auto"/>
        </w:rPr>
        <w:t>乙方（签字）：XXX</w:t>
      </w:r>
    </w:p>
    <w:p w14:paraId="3ADB8671">
      <w:pPr>
        <w:pStyle w:val="21"/>
        <w:rPr>
          <w:color w:val="auto"/>
        </w:rPr>
      </w:pPr>
      <w:r>
        <w:rPr>
          <w:color w:val="auto"/>
        </w:rPr>
        <w:t>日期：202X 年 X 月 X 日</w:t>
      </w:r>
    </w:p>
    <w:p w14:paraId="75B29AFE">
      <w:pPr>
        <w:spacing w:before="300" w:after="120" w:line="288" w:lineRule="auto"/>
        <w:ind w:left="0"/>
        <w:jc w:val="left"/>
        <w:outlineLvl w:val="9"/>
        <w:rPr>
          <w:rFonts w:ascii="Arial" w:hAnsi="Arial" w:eastAsia="等线" w:cs="Arial"/>
          <w:b/>
          <w:bCs/>
          <w:color w:val="auto"/>
          <w:sz w:val="30"/>
          <w:szCs w:val="30"/>
        </w:rPr>
      </w:pPr>
    </w:p>
    <w:p w14:paraId="3C9E84BE">
      <w:pPr>
        <w:spacing w:before="300" w:after="120" w:line="288" w:lineRule="auto"/>
        <w:ind w:left="0"/>
        <w:jc w:val="left"/>
        <w:outlineLvl w:val="9"/>
        <w:rPr>
          <w:rFonts w:ascii="Arial" w:hAnsi="Arial" w:eastAsia="等线" w:cs="Arial"/>
          <w:b/>
          <w:bCs/>
          <w:color w:val="auto"/>
          <w:sz w:val="30"/>
          <w:szCs w:val="30"/>
        </w:rPr>
      </w:pPr>
    </w:p>
    <w:p w14:paraId="6B336B39">
      <w:pPr>
        <w:spacing w:before="300" w:after="120" w:line="288" w:lineRule="auto"/>
        <w:ind w:left="0"/>
        <w:jc w:val="left"/>
        <w:outlineLvl w:val="9"/>
        <w:rPr>
          <w:rFonts w:ascii="Arial" w:hAnsi="Arial" w:eastAsia="等线" w:cs="Arial"/>
          <w:b/>
          <w:bCs/>
          <w:color w:val="auto"/>
          <w:sz w:val="30"/>
          <w:szCs w:val="30"/>
        </w:rPr>
      </w:pPr>
    </w:p>
    <w:p w14:paraId="7096BC77">
      <w:pPr>
        <w:spacing w:before="300" w:after="120" w:line="288" w:lineRule="auto"/>
        <w:ind w:left="0"/>
        <w:jc w:val="left"/>
        <w:outlineLvl w:val="9"/>
        <w:rPr>
          <w:rFonts w:ascii="Arial" w:hAnsi="Arial" w:eastAsia="等线" w:cs="Arial"/>
          <w:b/>
          <w:bCs/>
          <w:color w:val="auto"/>
          <w:sz w:val="30"/>
          <w:szCs w:val="30"/>
        </w:rPr>
      </w:pPr>
    </w:p>
    <w:p w14:paraId="636E3194">
      <w:pPr>
        <w:spacing w:before="300" w:after="120" w:line="288" w:lineRule="auto"/>
        <w:ind w:left="0"/>
        <w:jc w:val="left"/>
        <w:outlineLvl w:val="9"/>
        <w:rPr>
          <w:rFonts w:ascii="Arial" w:hAnsi="Arial" w:eastAsia="等线" w:cs="Arial"/>
          <w:b/>
          <w:bCs/>
          <w:color w:val="auto"/>
          <w:sz w:val="30"/>
          <w:szCs w:val="30"/>
        </w:rPr>
      </w:pPr>
    </w:p>
    <w:p w14:paraId="17E43BF8">
      <w:pPr>
        <w:spacing w:before="300" w:after="120" w:line="288" w:lineRule="auto"/>
        <w:ind w:left="0"/>
        <w:jc w:val="left"/>
        <w:outlineLvl w:val="9"/>
        <w:rPr>
          <w:rFonts w:ascii="Arial" w:hAnsi="Arial" w:eastAsia="等线" w:cs="Arial"/>
          <w:b/>
          <w:bCs/>
          <w:color w:val="auto"/>
          <w:sz w:val="30"/>
          <w:szCs w:val="30"/>
        </w:rPr>
      </w:pPr>
    </w:p>
    <w:p w14:paraId="4FD252B3">
      <w:pPr>
        <w:pStyle w:val="4"/>
        <w:ind w:left="0" w:leftChars="0"/>
        <w:outlineLvl w:val="0"/>
        <w:rPr>
          <w:color w:val="auto"/>
        </w:rPr>
      </w:pPr>
      <w:bookmarkStart w:id="142" w:name="_Toc272"/>
      <w:r>
        <w:rPr>
          <w:color w:val="auto"/>
        </w:rPr>
        <w:t>附录六 竞业限制协议参考文本</w:t>
      </w:r>
      <w:bookmarkEnd w:id="142"/>
    </w:p>
    <w:p w14:paraId="0CDCBF3C">
      <w:pPr>
        <w:pStyle w:val="5"/>
        <w:ind w:left="0" w:leftChars="0"/>
        <w:outlineLvl w:val="9"/>
        <w:rPr>
          <w:color w:val="auto"/>
        </w:rPr>
      </w:pPr>
      <w:r>
        <w:rPr>
          <w:color w:val="auto"/>
        </w:rPr>
        <w:t>甲方（用人单位）：</w:t>
      </w:r>
      <w:r>
        <w:rPr>
          <w:rFonts w:hint="eastAsia"/>
          <w:color w:val="auto"/>
          <w:lang w:eastAsia="zh-CN"/>
        </w:rPr>
        <w:t>XX市</w:t>
      </w:r>
      <w:r>
        <w:rPr>
          <w:color w:val="auto"/>
        </w:rPr>
        <w:t xml:space="preserve"> XX 轴承有限公司</w:t>
      </w:r>
    </w:p>
    <w:p w14:paraId="30A14657">
      <w:pPr>
        <w:pStyle w:val="21"/>
        <w:rPr>
          <w:color w:val="auto"/>
        </w:rPr>
      </w:pPr>
      <w:r>
        <w:rPr>
          <w:color w:val="auto"/>
        </w:rPr>
        <w:t>法定代表人：XXX</w:t>
      </w:r>
    </w:p>
    <w:p w14:paraId="7052FE56">
      <w:pPr>
        <w:pStyle w:val="21"/>
        <w:rPr>
          <w:color w:val="auto"/>
        </w:rPr>
      </w:pPr>
      <w:r>
        <w:rPr>
          <w:color w:val="auto"/>
        </w:rPr>
        <w:t>统一社会信用代码：XXX</w:t>
      </w:r>
    </w:p>
    <w:p w14:paraId="5CDBC584">
      <w:pPr>
        <w:pStyle w:val="21"/>
        <w:rPr>
          <w:color w:val="auto"/>
        </w:rPr>
      </w:pPr>
      <w:r>
        <w:rPr>
          <w:color w:val="auto"/>
        </w:rPr>
        <w:t>地址：XXX</w:t>
      </w:r>
    </w:p>
    <w:p w14:paraId="4F708AEB">
      <w:pPr>
        <w:pStyle w:val="21"/>
        <w:rPr>
          <w:color w:val="auto"/>
        </w:rPr>
      </w:pPr>
      <w:r>
        <w:rPr>
          <w:color w:val="auto"/>
        </w:rPr>
        <w:t>联系方式：XXX</w:t>
      </w:r>
    </w:p>
    <w:p w14:paraId="53BCC0DA">
      <w:pPr>
        <w:pStyle w:val="5"/>
        <w:ind w:left="0" w:leftChars="0"/>
        <w:outlineLvl w:val="9"/>
        <w:rPr>
          <w:color w:val="auto"/>
        </w:rPr>
      </w:pPr>
      <w:r>
        <w:rPr>
          <w:color w:val="auto"/>
        </w:rPr>
        <w:t>乙方（劳动者）：XXX</w:t>
      </w:r>
    </w:p>
    <w:p w14:paraId="0E4574B4">
      <w:pPr>
        <w:pStyle w:val="21"/>
        <w:rPr>
          <w:color w:val="auto"/>
        </w:rPr>
      </w:pPr>
      <w:r>
        <w:rPr>
          <w:color w:val="auto"/>
        </w:rPr>
        <w:t>身份证号码：XXX</w:t>
      </w:r>
    </w:p>
    <w:p w14:paraId="1EB06DBC">
      <w:pPr>
        <w:pStyle w:val="21"/>
        <w:rPr>
          <w:color w:val="auto"/>
        </w:rPr>
      </w:pPr>
      <w:r>
        <w:rPr>
          <w:color w:val="auto"/>
        </w:rPr>
        <w:t>住址：XXX</w:t>
      </w:r>
    </w:p>
    <w:p w14:paraId="105BA284">
      <w:pPr>
        <w:pStyle w:val="21"/>
        <w:rPr>
          <w:color w:val="auto"/>
        </w:rPr>
      </w:pPr>
      <w:r>
        <w:rPr>
          <w:color w:val="auto"/>
        </w:rPr>
        <w:t>联系方式：XXX</w:t>
      </w:r>
    </w:p>
    <w:p w14:paraId="4BB7573E">
      <w:pPr>
        <w:pStyle w:val="21"/>
        <w:rPr>
          <w:color w:val="auto"/>
        </w:rPr>
      </w:pPr>
      <w:r>
        <w:rPr>
          <w:color w:val="auto"/>
        </w:rPr>
        <w:t>鉴于乙方系甲方核心涉密人员（岗位：XXX），知悉甲方核心商业秘密，为保护甲方商业秘密，甲乙双方根据《中华人民共和国劳动合同法》等法律法规，签订本竞业限制协议。</w:t>
      </w:r>
    </w:p>
    <w:p w14:paraId="03EA6BFF">
      <w:pPr>
        <w:pStyle w:val="5"/>
        <w:ind w:left="0" w:leftChars="0"/>
        <w:outlineLvl w:val="9"/>
        <w:rPr>
          <w:color w:val="auto"/>
        </w:rPr>
      </w:pPr>
      <w:bookmarkStart w:id="143" w:name="_Toc24427"/>
      <w:r>
        <w:rPr>
          <w:color w:val="auto"/>
        </w:rPr>
        <w:t>第一条 竞业限制范围与期限</w:t>
      </w:r>
      <w:bookmarkEnd w:id="143"/>
    </w:p>
    <w:p w14:paraId="07BDAAC7">
      <w:pPr>
        <w:pStyle w:val="21"/>
        <w:numPr>
          <w:ilvl w:val="0"/>
          <w:numId w:val="62"/>
        </w:numPr>
        <w:rPr>
          <w:color w:val="auto"/>
        </w:rPr>
      </w:pPr>
      <w:r>
        <w:rPr>
          <w:color w:val="auto"/>
        </w:rPr>
        <w:t>范围：乙方离职后 2 年内，不得到甲方生产或经营同类产品、从事同类业务的有竞争关系的其他用人单位（包括但不限于</w:t>
      </w:r>
      <w:r>
        <w:rPr>
          <w:rFonts w:hint="eastAsia"/>
          <w:color w:val="auto"/>
          <w:lang w:eastAsia="zh-CN"/>
        </w:rPr>
        <w:t>XX市</w:t>
      </w:r>
      <w:r>
        <w:rPr>
          <w:color w:val="auto"/>
        </w:rPr>
        <w:t>及周边 300 公里内轴承制造企业）任职，也不得自己开业生产或经营同类产品、从事同类业务；</w:t>
      </w:r>
    </w:p>
    <w:p w14:paraId="2E506BA9">
      <w:pPr>
        <w:pStyle w:val="21"/>
        <w:numPr>
          <w:ilvl w:val="0"/>
          <w:numId w:val="62"/>
        </w:numPr>
        <w:rPr>
          <w:color w:val="auto"/>
        </w:rPr>
      </w:pPr>
      <w:r>
        <w:rPr>
          <w:color w:val="auto"/>
        </w:rPr>
        <w:t>期限：竞业限制期限为乙方离职后 2 年，自双方劳动合同解除或终止之日起计算。</w:t>
      </w:r>
    </w:p>
    <w:p w14:paraId="12B67942">
      <w:pPr>
        <w:pStyle w:val="5"/>
        <w:ind w:left="0" w:leftChars="0"/>
        <w:outlineLvl w:val="9"/>
        <w:rPr>
          <w:color w:val="auto"/>
        </w:rPr>
      </w:pPr>
      <w:bookmarkStart w:id="144" w:name="_Toc7188"/>
      <w:r>
        <w:rPr>
          <w:color w:val="auto"/>
        </w:rPr>
        <w:t>第二条 竞业限制补偿</w:t>
      </w:r>
      <w:bookmarkEnd w:id="144"/>
    </w:p>
    <w:p w14:paraId="24F2B673">
      <w:pPr>
        <w:pStyle w:val="21"/>
        <w:numPr>
          <w:ilvl w:val="0"/>
          <w:numId w:val="63"/>
        </w:numPr>
        <w:rPr>
          <w:color w:val="auto"/>
        </w:rPr>
      </w:pPr>
      <w:r>
        <w:rPr>
          <w:color w:val="auto"/>
        </w:rPr>
        <w:t>甲方在竞业限制期限内，每月向乙方支付竞业限制经济补偿，标准为乙方离职前 12 个月平均工资的 30%（不低于</w:t>
      </w:r>
      <w:r>
        <w:rPr>
          <w:rFonts w:hint="eastAsia"/>
          <w:color w:val="auto"/>
          <w:lang w:eastAsia="zh-CN"/>
        </w:rPr>
        <w:t>XX市</w:t>
      </w:r>
      <w:r>
        <w:rPr>
          <w:color w:val="auto"/>
        </w:rPr>
        <w:t>最低工资标准）；</w:t>
      </w:r>
    </w:p>
    <w:p w14:paraId="63DB09D4">
      <w:pPr>
        <w:pStyle w:val="21"/>
        <w:numPr>
          <w:ilvl w:val="0"/>
          <w:numId w:val="63"/>
        </w:numPr>
        <w:rPr>
          <w:color w:val="auto"/>
        </w:rPr>
      </w:pPr>
      <w:r>
        <w:rPr>
          <w:color w:val="auto"/>
        </w:rPr>
        <w:t>支付方式：甲方于每月 15 日前，通过银行转账方式将补偿支付至乙方以下账户：</w:t>
      </w:r>
    </w:p>
    <w:p w14:paraId="29F4576D">
      <w:pPr>
        <w:pStyle w:val="21"/>
        <w:rPr>
          <w:color w:val="auto"/>
        </w:rPr>
      </w:pPr>
      <w:r>
        <w:rPr>
          <w:color w:val="auto"/>
        </w:rPr>
        <w:t>开户银行：XXX</w:t>
      </w:r>
    </w:p>
    <w:p w14:paraId="3DEB14F3">
      <w:pPr>
        <w:pStyle w:val="21"/>
        <w:rPr>
          <w:color w:val="auto"/>
        </w:rPr>
      </w:pPr>
      <w:r>
        <w:rPr>
          <w:color w:val="auto"/>
        </w:rPr>
        <w:t>账户名称：XXX</w:t>
      </w:r>
    </w:p>
    <w:p w14:paraId="68FF1E80">
      <w:pPr>
        <w:pStyle w:val="21"/>
        <w:rPr>
          <w:color w:val="auto"/>
        </w:rPr>
      </w:pPr>
      <w:r>
        <w:rPr>
          <w:color w:val="auto"/>
        </w:rPr>
        <w:t>账号：XXX</w:t>
      </w:r>
    </w:p>
    <w:p w14:paraId="7FBF76C6">
      <w:pPr>
        <w:pStyle w:val="21"/>
        <w:numPr>
          <w:ilvl w:val="0"/>
          <w:numId w:val="63"/>
        </w:numPr>
        <w:rPr>
          <w:color w:val="auto"/>
        </w:rPr>
      </w:pPr>
      <w:r>
        <w:rPr>
          <w:color w:val="auto"/>
        </w:rPr>
        <w:t>乙方应在每月 10 日前，向甲方提供在职证明（如与新单位签订的劳动合同、社保缴纳证明）或无业证明（由街道办事处出具），逾期未提供的，甲方有权暂停支付补偿，直至乙方提供有效证明。</w:t>
      </w:r>
    </w:p>
    <w:p w14:paraId="44726499">
      <w:pPr>
        <w:pStyle w:val="5"/>
        <w:ind w:left="0" w:leftChars="0"/>
        <w:outlineLvl w:val="9"/>
        <w:rPr>
          <w:color w:val="auto"/>
        </w:rPr>
      </w:pPr>
      <w:bookmarkStart w:id="145" w:name="_Toc15510"/>
      <w:r>
        <w:rPr>
          <w:color w:val="auto"/>
        </w:rPr>
        <w:t>第三条 乙方义务</w:t>
      </w:r>
      <w:bookmarkEnd w:id="145"/>
    </w:p>
    <w:p w14:paraId="0969DD10">
      <w:pPr>
        <w:pStyle w:val="21"/>
        <w:numPr>
          <w:ilvl w:val="0"/>
          <w:numId w:val="64"/>
        </w:numPr>
        <w:rPr>
          <w:color w:val="auto"/>
        </w:rPr>
      </w:pPr>
      <w:r>
        <w:rPr>
          <w:color w:val="auto"/>
        </w:rPr>
        <w:t>离职后，乙方应定期向甲方报告任职情况，配合甲方核查；</w:t>
      </w:r>
    </w:p>
    <w:p w14:paraId="4A95978E">
      <w:pPr>
        <w:pStyle w:val="21"/>
        <w:numPr>
          <w:ilvl w:val="0"/>
          <w:numId w:val="64"/>
        </w:numPr>
        <w:rPr>
          <w:color w:val="auto"/>
        </w:rPr>
      </w:pPr>
      <w:r>
        <w:rPr>
          <w:color w:val="auto"/>
        </w:rPr>
        <w:t>不得泄露、使用甲方商业秘密，不得诱导甲方员工离职；</w:t>
      </w:r>
    </w:p>
    <w:p w14:paraId="37EA0088">
      <w:pPr>
        <w:pStyle w:val="21"/>
        <w:numPr>
          <w:ilvl w:val="0"/>
          <w:numId w:val="64"/>
        </w:numPr>
        <w:rPr>
          <w:color w:val="auto"/>
        </w:rPr>
      </w:pPr>
      <w:r>
        <w:rPr>
          <w:color w:val="auto"/>
        </w:rPr>
        <w:t>若乙方违反竞业限制义务，应立即停止违约行为，并向甲方支付违约金。</w:t>
      </w:r>
    </w:p>
    <w:p w14:paraId="549D9E29">
      <w:pPr>
        <w:pStyle w:val="5"/>
        <w:ind w:left="0" w:leftChars="0"/>
        <w:outlineLvl w:val="9"/>
        <w:rPr>
          <w:color w:val="auto"/>
        </w:rPr>
      </w:pPr>
      <w:bookmarkStart w:id="146" w:name="_Toc32394"/>
      <w:r>
        <w:rPr>
          <w:color w:val="auto"/>
        </w:rPr>
        <w:t>第四条 违约责任</w:t>
      </w:r>
      <w:bookmarkEnd w:id="146"/>
    </w:p>
    <w:p w14:paraId="7BA50437">
      <w:pPr>
        <w:pStyle w:val="21"/>
        <w:numPr>
          <w:ilvl w:val="0"/>
          <w:numId w:val="65"/>
        </w:numPr>
        <w:rPr>
          <w:color w:val="auto"/>
        </w:rPr>
      </w:pPr>
      <w:r>
        <w:rPr>
          <w:color w:val="auto"/>
        </w:rPr>
        <w:t>乙方违反本协议约定的，应向甲方支付违约金，金额为甲方已支付竞业限制补偿总额的 5 倍；若违约金不足以弥补甲方损失，乙方还应赔偿差额部分；</w:t>
      </w:r>
    </w:p>
    <w:p w14:paraId="1DD62B58">
      <w:pPr>
        <w:pStyle w:val="21"/>
        <w:numPr>
          <w:ilvl w:val="0"/>
          <w:numId w:val="65"/>
        </w:numPr>
        <w:rPr>
          <w:color w:val="auto"/>
        </w:rPr>
      </w:pPr>
      <w:r>
        <w:rPr>
          <w:color w:val="auto"/>
        </w:rPr>
        <w:t>甲方无正当理由逾期支付补偿超过 30 日的，乙方有权解除本协议，不再承担竞业限制义务。</w:t>
      </w:r>
    </w:p>
    <w:p w14:paraId="71CF9FCB">
      <w:pPr>
        <w:pStyle w:val="5"/>
        <w:ind w:left="0" w:leftChars="0"/>
        <w:outlineLvl w:val="9"/>
        <w:rPr>
          <w:color w:val="auto"/>
        </w:rPr>
      </w:pPr>
      <w:bookmarkStart w:id="147" w:name="_Toc6514"/>
      <w:r>
        <w:rPr>
          <w:color w:val="auto"/>
        </w:rPr>
        <w:t>第五条 争议解决</w:t>
      </w:r>
      <w:bookmarkEnd w:id="147"/>
    </w:p>
    <w:p w14:paraId="6152FCE7">
      <w:pPr>
        <w:pStyle w:val="21"/>
        <w:rPr>
          <w:color w:val="auto"/>
        </w:rPr>
      </w:pPr>
      <w:r>
        <w:rPr>
          <w:color w:val="auto"/>
        </w:rPr>
        <w:t>因履行本协议发生的争议，双方协商解决；协商不成的，提交甲方所在地劳动争议仲裁委员会仲裁，对仲裁结果不服的，可向甲方所在地法院提起诉讼。</w:t>
      </w:r>
    </w:p>
    <w:p w14:paraId="3A511BBC">
      <w:pPr>
        <w:pStyle w:val="5"/>
        <w:ind w:left="0" w:leftChars="0"/>
        <w:outlineLvl w:val="9"/>
        <w:rPr>
          <w:color w:val="auto"/>
        </w:rPr>
      </w:pPr>
      <w:bookmarkStart w:id="148" w:name="_Toc1244"/>
      <w:r>
        <w:rPr>
          <w:color w:val="auto"/>
        </w:rPr>
        <w:t>第六条 其他</w:t>
      </w:r>
      <w:bookmarkEnd w:id="148"/>
    </w:p>
    <w:p w14:paraId="15B07FBC">
      <w:pPr>
        <w:pStyle w:val="21"/>
        <w:numPr>
          <w:ilvl w:val="0"/>
          <w:numId w:val="66"/>
        </w:numPr>
        <w:rPr>
          <w:color w:val="auto"/>
        </w:rPr>
      </w:pPr>
      <w:r>
        <w:rPr>
          <w:color w:val="auto"/>
        </w:rPr>
        <w:t>本协议自双方签字盖章之日起生效；</w:t>
      </w:r>
    </w:p>
    <w:p w14:paraId="572AF9BC">
      <w:pPr>
        <w:pStyle w:val="21"/>
        <w:numPr>
          <w:ilvl w:val="0"/>
          <w:numId w:val="66"/>
        </w:numPr>
        <w:rPr>
          <w:color w:val="auto"/>
        </w:rPr>
      </w:pPr>
      <w:r>
        <w:rPr>
          <w:color w:val="auto"/>
        </w:rPr>
        <w:t>本协议一式两份，甲乙双方各执一份，具有同等法律效力。</w:t>
      </w:r>
    </w:p>
    <w:p w14:paraId="51877D55">
      <w:pPr>
        <w:pStyle w:val="21"/>
        <w:rPr>
          <w:color w:val="auto"/>
        </w:rPr>
      </w:pPr>
      <w:r>
        <w:rPr>
          <w:color w:val="auto"/>
        </w:rPr>
        <w:t>甲方（盖章）：XXX</w:t>
      </w:r>
    </w:p>
    <w:p w14:paraId="48A7612D">
      <w:pPr>
        <w:pStyle w:val="21"/>
        <w:rPr>
          <w:color w:val="auto"/>
        </w:rPr>
      </w:pPr>
      <w:r>
        <w:rPr>
          <w:color w:val="auto"/>
        </w:rPr>
        <w:t>法定代表人 / 授权代表（签字）：XXX</w:t>
      </w:r>
    </w:p>
    <w:p w14:paraId="5E274F2C">
      <w:pPr>
        <w:pStyle w:val="21"/>
        <w:rPr>
          <w:color w:val="auto"/>
        </w:rPr>
      </w:pPr>
      <w:r>
        <w:rPr>
          <w:color w:val="auto"/>
        </w:rPr>
        <w:t>日期：202X 年 X 月 X 日</w:t>
      </w:r>
    </w:p>
    <w:p w14:paraId="4B401B7A">
      <w:pPr>
        <w:pStyle w:val="21"/>
        <w:rPr>
          <w:color w:val="auto"/>
        </w:rPr>
      </w:pPr>
      <w:r>
        <w:rPr>
          <w:color w:val="auto"/>
        </w:rPr>
        <w:t>乙方（签字）：XXX</w:t>
      </w:r>
    </w:p>
    <w:p w14:paraId="42B03FF1">
      <w:pPr>
        <w:pStyle w:val="21"/>
        <w:rPr>
          <w:color w:val="auto"/>
        </w:rPr>
      </w:pPr>
      <w:r>
        <w:rPr>
          <w:color w:val="auto"/>
        </w:rPr>
        <w:t>日期：202X 年 X 月 X 日</w:t>
      </w:r>
    </w:p>
    <w:p w14:paraId="544FDE23">
      <w:pPr>
        <w:pStyle w:val="21"/>
        <w:rPr>
          <w:color w:val="auto"/>
        </w:rPr>
      </w:pPr>
    </w:p>
    <w:p w14:paraId="2AA47B56">
      <w:pPr>
        <w:pStyle w:val="21"/>
        <w:rPr>
          <w:color w:val="auto"/>
        </w:rPr>
      </w:pPr>
    </w:p>
    <w:p w14:paraId="2C33CB23">
      <w:pPr>
        <w:pStyle w:val="21"/>
        <w:rPr>
          <w:color w:val="auto"/>
        </w:rPr>
      </w:pPr>
    </w:p>
    <w:p w14:paraId="22697177">
      <w:pPr>
        <w:pStyle w:val="21"/>
        <w:rPr>
          <w:color w:val="auto"/>
        </w:rPr>
      </w:pPr>
    </w:p>
    <w:p w14:paraId="2609E52A">
      <w:pPr>
        <w:pStyle w:val="21"/>
        <w:rPr>
          <w:color w:val="auto"/>
        </w:rPr>
      </w:pPr>
    </w:p>
    <w:p w14:paraId="7D6148CF">
      <w:pPr>
        <w:pStyle w:val="21"/>
        <w:rPr>
          <w:color w:val="auto"/>
        </w:rPr>
      </w:pPr>
    </w:p>
    <w:p w14:paraId="16B46B75">
      <w:pPr>
        <w:pStyle w:val="21"/>
        <w:rPr>
          <w:color w:val="auto"/>
        </w:rPr>
      </w:pPr>
    </w:p>
    <w:p w14:paraId="1495AB58">
      <w:pPr>
        <w:pStyle w:val="21"/>
        <w:rPr>
          <w:color w:val="auto"/>
        </w:rPr>
      </w:pPr>
    </w:p>
    <w:p w14:paraId="40885C4D">
      <w:pPr>
        <w:pStyle w:val="21"/>
        <w:rPr>
          <w:color w:val="auto"/>
        </w:rPr>
      </w:pPr>
    </w:p>
    <w:sectPr>
      <w:footerReference r:id="rId3" w:type="default"/>
      <w:pgSz w:w="11906" w:h="16838"/>
      <w:pgMar w:top="1440" w:right="1440" w:bottom="1440" w:left="1440" w:header="708" w:footer="708"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479863">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0FD127">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60FD127">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ADCABA"/>
    <w:multiLevelType w:val="multilevel"/>
    <w:tmpl w:val="59ADCABA"/>
    <w:lvl w:ilvl="0" w:tentative="0">
      <w:start w:val="1"/>
      <w:numFmt w:val="decimal"/>
      <w:lvlText w:val="%1."/>
      <w:lvlJc w:val="left"/>
      <w:pPr>
        <w:ind w:left="288" w:hanging="288"/>
      </w:pPr>
      <w:rPr>
        <w:rFonts w:hint="default"/>
        <w:color w:val="auto"/>
        <w:sz w:val="22"/>
        <w:szCs w:val="22"/>
      </w:rPr>
    </w:lvl>
    <w:lvl w:ilvl="1" w:tentative="0">
      <w:start w:val="1"/>
      <w:numFmt w:val="lowerLetter"/>
      <w:lvlText w:val="%2."/>
      <w:lvlJc w:val="left"/>
      <w:pPr>
        <w:ind w:left="720" w:hanging="288"/>
      </w:pPr>
      <w:rPr>
        <w:rFonts w:hint="default"/>
        <w:color w:val="auto"/>
        <w:sz w:val="22"/>
        <w:szCs w:val="22"/>
      </w:rPr>
    </w:lvl>
    <w:lvl w:ilvl="2" w:tentative="0">
      <w:start w:val="1"/>
      <w:numFmt w:val="lowerRoman"/>
      <w:lvlText w:val="%3."/>
      <w:lvlJc w:val="left"/>
      <w:pPr>
        <w:ind w:left="1152" w:hanging="288"/>
      </w:pPr>
      <w:rPr>
        <w:color w:val="3370FF"/>
        <w:sz w:val="22"/>
        <w:szCs w:val="22"/>
      </w:rPr>
    </w:lvl>
    <w:lvl w:ilvl="3" w:tentative="0">
      <w:start w:val="1"/>
      <w:numFmt w:val="decimal"/>
      <w:lvlText w:val="%4."/>
      <w:lvlJc w:val="left"/>
      <w:pPr>
        <w:ind w:left="1583" w:hanging="288"/>
      </w:pPr>
      <w:rPr>
        <w:color w:val="3370FF"/>
        <w:sz w:val="22"/>
        <w:szCs w:val="22"/>
      </w:rPr>
    </w:lvl>
    <w:lvl w:ilvl="4" w:tentative="0">
      <w:start w:val="1"/>
      <w:numFmt w:val="lowerLetter"/>
      <w:lvlText w:val="%5."/>
      <w:lvlJc w:val="left"/>
      <w:pPr>
        <w:ind w:left="2015" w:hanging="288"/>
      </w:pPr>
      <w:rPr>
        <w:color w:val="3370FF"/>
        <w:sz w:val="22"/>
        <w:szCs w:val="22"/>
      </w:rPr>
    </w:lvl>
    <w:lvl w:ilvl="5" w:tentative="0">
      <w:start w:val="1"/>
      <w:numFmt w:val="lowerRoman"/>
      <w:lvlText w:val="%6."/>
      <w:lvlJc w:val="left"/>
      <w:pPr>
        <w:ind w:left="2448" w:hanging="288"/>
      </w:pPr>
      <w:rPr>
        <w:color w:val="3370FF"/>
        <w:sz w:val="22"/>
        <w:szCs w:val="22"/>
      </w:rPr>
    </w:lvl>
    <w:lvl w:ilvl="6" w:tentative="0">
      <w:start w:val="1"/>
      <w:numFmt w:val="decimal"/>
      <w:lvlText w:val="%7."/>
      <w:lvlJc w:val="left"/>
      <w:pPr>
        <w:ind w:left="2879" w:hanging="288"/>
      </w:pPr>
      <w:rPr>
        <w:color w:val="3370FF"/>
        <w:sz w:val="22"/>
        <w:szCs w:val="22"/>
      </w:rPr>
    </w:lvl>
    <w:lvl w:ilvl="7" w:tentative="0">
      <w:start w:val="1"/>
      <w:numFmt w:val="lowerLetter"/>
      <w:lvlText w:val="%8."/>
      <w:lvlJc w:val="left"/>
      <w:pPr>
        <w:ind w:left="3312" w:hanging="288"/>
      </w:pPr>
      <w:rPr>
        <w:color w:val="3370FF"/>
        <w:sz w:val="22"/>
        <w:szCs w:val="22"/>
      </w:rPr>
    </w:lvl>
    <w:lvl w:ilvl="8" w:tentative="0">
      <w:start w:val="1"/>
      <w:numFmt w:val="lowerRoman"/>
      <w:lvlText w:val="%9."/>
      <w:lvlJc w:val="left"/>
      <w:pPr>
        <w:ind w:left="3744" w:hanging="288"/>
      </w:pPr>
      <w:rPr>
        <w:color w:val="3370FF"/>
        <w:sz w:val="22"/>
        <w:szCs w:val="22"/>
      </w:rPr>
    </w:lvl>
  </w:abstractNum>
  <w:num w:numId="1">
    <w:abstractNumId w:val="0"/>
    <w:lvlOverride w:ilvl="0">
      <w:startOverride w:val="1"/>
    </w:lvlOverride>
  </w:num>
  <w:num w:numId="2">
    <w:abstractNumId w:val="0"/>
    <w:lvlOverride w:ilvl="0">
      <w:startOverride w:val="1"/>
    </w:lvlOverride>
  </w:num>
  <w:num w:numId="3">
    <w:abstractNumId w:val="0"/>
    <w:lvlOverride w:ilvl="0">
      <w:startOverride w:val="1"/>
    </w:lvlOverride>
  </w:num>
  <w:num w:numId="4">
    <w:abstractNumId w:val="0"/>
    <w:lvlOverride w:ilvl="0">
      <w:startOverride w:val="1"/>
    </w:lvlOverride>
  </w:num>
  <w:num w:numId="5">
    <w:abstractNumId w:val="0"/>
    <w:lvlOverride w:ilvl="0">
      <w:startOverride w:val="1"/>
    </w:lvlOverride>
  </w:num>
  <w:num w:numId="6">
    <w:abstractNumId w:val="0"/>
    <w:lvlOverride w:ilvl="0">
      <w:startOverride w:val="1"/>
    </w:lvlOverride>
  </w:num>
  <w:num w:numId="7">
    <w:abstractNumId w:val="0"/>
    <w:lvlOverride w:ilvl="0">
      <w:startOverride w:val="1"/>
    </w:lvlOverride>
  </w:num>
  <w:num w:numId="8">
    <w:abstractNumId w:val="0"/>
    <w:lvlOverride w:ilvl="0">
      <w:startOverride w:val="1"/>
    </w:lvlOverride>
  </w:num>
  <w:num w:numId="9">
    <w:abstractNumId w:val="0"/>
    <w:lvlOverride w:ilvl="0">
      <w:startOverride w:val="1"/>
    </w:lvlOverride>
  </w:num>
  <w:num w:numId="10">
    <w:abstractNumId w:val="0"/>
    <w:lvlOverride w:ilvl="0">
      <w:startOverride w:val="1"/>
    </w:lvlOverride>
  </w:num>
  <w:num w:numId="11">
    <w:abstractNumId w:val="0"/>
    <w:lvlOverride w:ilvl="0">
      <w:startOverride w:val="1"/>
    </w:lvlOverride>
  </w:num>
  <w:num w:numId="12">
    <w:abstractNumId w:val="0"/>
    <w:lvlOverride w:ilvl="0">
      <w:startOverride w:val="1"/>
    </w:lvlOverride>
  </w:num>
  <w:num w:numId="13">
    <w:abstractNumId w:val="0"/>
    <w:lvlOverride w:ilvl="0">
      <w:startOverride w:val="1"/>
    </w:lvlOverride>
  </w:num>
  <w:num w:numId="14">
    <w:abstractNumId w:val="0"/>
    <w:lvlOverride w:ilvl="0">
      <w:startOverride w:val="1"/>
    </w:lvlOverride>
  </w:num>
  <w:num w:numId="15">
    <w:abstractNumId w:val="0"/>
    <w:lvlOverride w:ilvl="0">
      <w:startOverride w:val="1"/>
    </w:lvlOverride>
  </w:num>
  <w:num w:numId="16">
    <w:abstractNumId w:val="0"/>
    <w:lvlOverride w:ilvl="0">
      <w:startOverride w:val="1"/>
    </w:lvlOverride>
  </w:num>
  <w:num w:numId="17">
    <w:abstractNumId w:val="0"/>
    <w:lvlOverride w:ilvl="0">
      <w:startOverride w:val="1"/>
    </w:lvlOverride>
  </w:num>
  <w:num w:numId="18">
    <w:abstractNumId w:val="0"/>
    <w:lvlOverride w:ilvl="0">
      <w:startOverride w:val="1"/>
    </w:lvlOverride>
  </w:num>
  <w:num w:numId="19">
    <w:abstractNumId w:val="0"/>
    <w:lvlOverride w:ilvl="0">
      <w:startOverride w:val="1"/>
    </w:lvlOverride>
  </w:num>
  <w:num w:numId="20">
    <w:abstractNumId w:val="0"/>
    <w:lvlOverride w:ilvl="0">
      <w:startOverride w:val="1"/>
    </w:lvlOverride>
  </w:num>
  <w:num w:numId="21">
    <w:abstractNumId w:val="0"/>
    <w:lvlOverride w:ilvl="0">
      <w:startOverride w:val="1"/>
    </w:lvlOverride>
  </w:num>
  <w:num w:numId="22">
    <w:abstractNumId w:val="0"/>
    <w:lvlOverride w:ilvl="0">
      <w:startOverride w:val="1"/>
    </w:lvlOverride>
  </w:num>
  <w:num w:numId="23">
    <w:abstractNumId w:val="0"/>
    <w:lvlOverride w:ilvl="0">
      <w:startOverride w:val="1"/>
    </w:lvlOverride>
  </w:num>
  <w:num w:numId="24">
    <w:abstractNumId w:val="0"/>
    <w:lvlOverride w:ilvl="0">
      <w:startOverride w:val="1"/>
    </w:lvlOverride>
  </w:num>
  <w:num w:numId="25">
    <w:abstractNumId w:val="0"/>
    <w:lvlOverride w:ilvl="0">
      <w:startOverride w:val="1"/>
    </w:lvlOverride>
  </w:num>
  <w:num w:numId="26">
    <w:abstractNumId w:val="0"/>
    <w:lvlOverride w:ilvl="0">
      <w:startOverride w:val="1"/>
    </w:lvlOverride>
  </w:num>
  <w:num w:numId="27">
    <w:abstractNumId w:val="0"/>
    <w:lvlOverride w:ilvl="0">
      <w:startOverride w:val="1"/>
    </w:lvlOverride>
  </w:num>
  <w:num w:numId="28">
    <w:abstractNumId w:val="0"/>
    <w:lvlOverride w:ilvl="0">
      <w:startOverride w:val="1"/>
    </w:lvlOverride>
  </w:num>
  <w:num w:numId="29">
    <w:abstractNumId w:val="0"/>
    <w:lvlOverride w:ilvl="0">
      <w:startOverride w:val="1"/>
    </w:lvlOverride>
  </w:num>
  <w:num w:numId="30">
    <w:abstractNumId w:val="0"/>
    <w:lvlOverride w:ilvl="0">
      <w:startOverride w:val="1"/>
    </w:lvlOverride>
  </w:num>
  <w:num w:numId="31">
    <w:abstractNumId w:val="0"/>
    <w:lvlOverride w:ilvl="0">
      <w:startOverride w:val="1"/>
    </w:lvlOverride>
  </w:num>
  <w:num w:numId="32">
    <w:abstractNumId w:val="0"/>
    <w:lvlOverride w:ilvl="0">
      <w:startOverride w:val="1"/>
    </w:lvlOverride>
  </w:num>
  <w:num w:numId="33">
    <w:abstractNumId w:val="0"/>
    <w:lvlOverride w:ilvl="0">
      <w:startOverride w:val="1"/>
    </w:lvlOverride>
  </w:num>
  <w:num w:numId="34">
    <w:abstractNumId w:val="0"/>
    <w:lvlOverride w:ilvl="0">
      <w:startOverride w:val="1"/>
    </w:lvlOverride>
  </w:num>
  <w:num w:numId="35">
    <w:abstractNumId w:val="0"/>
    <w:lvlOverride w:ilvl="0">
      <w:startOverride w:val="1"/>
    </w:lvlOverride>
  </w:num>
  <w:num w:numId="36">
    <w:abstractNumId w:val="0"/>
    <w:lvlOverride w:ilvl="0">
      <w:startOverride w:val="1"/>
    </w:lvlOverride>
  </w:num>
  <w:num w:numId="37">
    <w:abstractNumId w:val="0"/>
    <w:lvlOverride w:ilvl="0">
      <w:startOverride w:val="1"/>
    </w:lvlOverride>
  </w:num>
  <w:num w:numId="38">
    <w:abstractNumId w:val="0"/>
    <w:lvlOverride w:ilvl="0">
      <w:startOverride w:val="1"/>
    </w:lvlOverride>
  </w:num>
  <w:num w:numId="39">
    <w:abstractNumId w:val="0"/>
    <w:lvlOverride w:ilvl="0">
      <w:startOverride w:val="1"/>
    </w:lvlOverride>
  </w:num>
  <w:num w:numId="40">
    <w:abstractNumId w:val="0"/>
    <w:lvlOverride w:ilvl="0">
      <w:startOverride w:val="1"/>
    </w:lvlOverride>
  </w:num>
  <w:num w:numId="41">
    <w:abstractNumId w:val="0"/>
    <w:lvlOverride w:ilvl="0">
      <w:startOverride w:val="1"/>
    </w:lvlOverride>
  </w:num>
  <w:num w:numId="42">
    <w:abstractNumId w:val="0"/>
    <w:lvlOverride w:ilvl="0">
      <w:startOverride w:val="1"/>
    </w:lvlOverride>
  </w:num>
  <w:num w:numId="43">
    <w:abstractNumId w:val="0"/>
    <w:lvlOverride w:ilvl="0">
      <w:startOverride w:val="1"/>
    </w:lvlOverride>
  </w:num>
  <w:num w:numId="44">
    <w:abstractNumId w:val="0"/>
    <w:lvlOverride w:ilvl="0">
      <w:startOverride w:val="1"/>
    </w:lvlOverride>
  </w:num>
  <w:num w:numId="45">
    <w:abstractNumId w:val="0"/>
    <w:lvlOverride w:ilvl="0">
      <w:startOverride w:val="1"/>
    </w:lvlOverride>
  </w:num>
  <w:num w:numId="46">
    <w:abstractNumId w:val="0"/>
    <w:lvlOverride w:ilvl="0">
      <w:startOverride w:val="1"/>
    </w:lvlOverride>
  </w:num>
  <w:num w:numId="47">
    <w:abstractNumId w:val="0"/>
    <w:lvlOverride w:ilvl="0">
      <w:startOverride w:val="1"/>
    </w:lvlOverride>
  </w:num>
  <w:num w:numId="48">
    <w:abstractNumId w:val="0"/>
    <w:lvlOverride w:ilvl="0">
      <w:startOverride w:val="1"/>
    </w:lvlOverride>
  </w:num>
  <w:num w:numId="49">
    <w:abstractNumId w:val="0"/>
    <w:lvlOverride w:ilvl="0">
      <w:startOverride w:val="1"/>
    </w:lvlOverride>
  </w:num>
  <w:num w:numId="50">
    <w:abstractNumId w:val="0"/>
    <w:lvlOverride w:ilvl="0">
      <w:startOverride w:val="1"/>
    </w:lvlOverride>
  </w:num>
  <w:num w:numId="51">
    <w:abstractNumId w:val="0"/>
    <w:lvlOverride w:ilvl="0">
      <w:startOverride w:val="1"/>
    </w:lvlOverride>
  </w:num>
  <w:num w:numId="52">
    <w:abstractNumId w:val="0"/>
    <w:lvlOverride w:ilvl="0">
      <w:startOverride w:val="1"/>
    </w:lvlOverride>
  </w:num>
  <w:num w:numId="53">
    <w:abstractNumId w:val="0"/>
    <w:lvlOverride w:ilvl="0">
      <w:startOverride w:val="1"/>
    </w:lvlOverride>
  </w:num>
  <w:num w:numId="54">
    <w:abstractNumId w:val="0"/>
    <w:lvlOverride w:ilvl="0">
      <w:startOverride w:val="1"/>
    </w:lvlOverride>
  </w:num>
  <w:num w:numId="55">
    <w:abstractNumId w:val="0"/>
    <w:lvlOverride w:ilvl="0">
      <w:startOverride w:val="1"/>
    </w:lvlOverride>
  </w:num>
  <w:num w:numId="56">
    <w:abstractNumId w:val="0"/>
    <w:lvlOverride w:ilvl="0">
      <w:startOverride w:val="1"/>
    </w:lvlOverride>
  </w:num>
  <w:num w:numId="57">
    <w:abstractNumId w:val="0"/>
    <w:lvlOverride w:ilvl="0">
      <w:startOverride w:val="1"/>
    </w:lvlOverride>
  </w:num>
  <w:num w:numId="58">
    <w:abstractNumId w:val="0"/>
    <w:lvlOverride w:ilvl="0">
      <w:startOverride w:val="1"/>
    </w:lvlOverride>
  </w:num>
  <w:num w:numId="59">
    <w:abstractNumId w:val="0"/>
    <w:lvlOverride w:ilvl="0">
      <w:startOverride w:val="1"/>
    </w:lvlOverride>
  </w:num>
  <w:num w:numId="60">
    <w:abstractNumId w:val="0"/>
    <w:lvlOverride w:ilvl="0">
      <w:startOverride w:val="1"/>
    </w:lvlOverride>
  </w:num>
  <w:num w:numId="61">
    <w:abstractNumId w:val="0"/>
    <w:lvlOverride w:ilvl="0">
      <w:startOverride w:val="1"/>
    </w:lvlOverride>
  </w:num>
  <w:num w:numId="62">
    <w:abstractNumId w:val="0"/>
    <w:lvlOverride w:ilvl="0">
      <w:startOverride w:val="1"/>
    </w:lvlOverride>
  </w:num>
  <w:num w:numId="63">
    <w:abstractNumId w:val="0"/>
    <w:lvlOverride w:ilvl="0">
      <w:startOverride w:val="1"/>
    </w:lvlOverride>
  </w:num>
  <w:num w:numId="64">
    <w:abstractNumId w:val="0"/>
    <w:lvlOverride w:ilvl="0">
      <w:startOverride w:val="1"/>
    </w:lvlOverride>
  </w:num>
  <w:num w:numId="65">
    <w:abstractNumId w:val="0"/>
    <w:lvlOverride w:ilvl="0">
      <w:startOverride w:val="1"/>
    </w:lvlOverride>
  </w:num>
  <w:num w:numId="6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isplayHorizontalDrawingGridEvery w:val="1"/>
  <w:displayVerticalDrawingGridEvery w:val="1"/>
  <w:noPunctuationKerning w:val="1"/>
  <w:compat>
    <w:doNotExpandShiftReturn/>
    <w:doNotWrapTextWithPunct/>
    <w:doNotUseEastAsianBreakRules/>
    <w:useFELayout/>
    <w:compatSetting w:name="compatibilityMode" w:uri="http://schemas.microsoft.com/office/word" w:val="15"/>
  </w:compat>
  <w:rsids>
    <w:rsidRoot w:val="00000000"/>
    <w:rsid w:val="01D543F4"/>
    <w:rsid w:val="020B40D1"/>
    <w:rsid w:val="095D4837"/>
    <w:rsid w:val="0A1C72DC"/>
    <w:rsid w:val="102C0350"/>
    <w:rsid w:val="221C1AA6"/>
    <w:rsid w:val="33072347"/>
    <w:rsid w:val="3617285B"/>
    <w:rsid w:val="389F2ADA"/>
    <w:rsid w:val="3C7A1ABD"/>
    <w:rsid w:val="4B7218FD"/>
    <w:rsid w:val="4EF92D15"/>
    <w:rsid w:val="5761674D"/>
    <w:rsid w:val="61BB55F9"/>
    <w:rsid w:val="65E816C2"/>
    <w:rsid w:val="77F6464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paragraph" w:styleId="2">
    <w:name w:val="heading 1"/>
    <w:next w:val="1"/>
    <w:qFormat/>
    <w:uiPriority w:val="0"/>
    <w:pPr>
      <w:spacing w:before="380" w:after="140" w:line="288" w:lineRule="auto"/>
      <w:ind w:left="0"/>
      <w:jc w:val="left"/>
      <w:outlineLvl w:val="0"/>
    </w:pPr>
    <w:rPr>
      <w:rFonts w:ascii="Arial" w:hAnsi="Arial" w:eastAsia="等线" w:cs="Arial"/>
      <w:b/>
      <w:bCs/>
      <w:sz w:val="36"/>
      <w:szCs w:val="36"/>
    </w:rPr>
  </w:style>
  <w:style w:type="paragraph" w:styleId="3">
    <w:name w:val="heading 2"/>
    <w:next w:val="1"/>
    <w:qFormat/>
    <w:uiPriority w:val="0"/>
    <w:pPr>
      <w:spacing w:before="320" w:after="120" w:line="288" w:lineRule="auto"/>
      <w:ind w:left="0"/>
      <w:jc w:val="left"/>
      <w:outlineLvl w:val="1"/>
    </w:pPr>
    <w:rPr>
      <w:rFonts w:ascii="Arial" w:hAnsi="Arial" w:eastAsia="等线" w:cs="Arial"/>
      <w:b/>
      <w:bCs/>
      <w:sz w:val="32"/>
      <w:szCs w:val="32"/>
    </w:rPr>
  </w:style>
  <w:style w:type="paragraph" w:styleId="4">
    <w:name w:val="heading 3"/>
    <w:next w:val="1"/>
    <w:qFormat/>
    <w:uiPriority w:val="0"/>
    <w:pPr>
      <w:spacing w:before="300" w:after="120" w:line="288" w:lineRule="auto"/>
      <w:ind w:left="0"/>
      <w:jc w:val="left"/>
      <w:outlineLvl w:val="2"/>
    </w:pPr>
    <w:rPr>
      <w:rFonts w:ascii="Arial" w:hAnsi="Arial" w:eastAsia="等线" w:cs="Arial"/>
      <w:b/>
      <w:bCs/>
      <w:sz w:val="30"/>
      <w:szCs w:val="30"/>
    </w:rPr>
  </w:style>
  <w:style w:type="paragraph" w:styleId="5">
    <w:name w:val="heading 4"/>
    <w:next w:val="1"/>
    <w:qFormat/>
    <w:uiPriority w:val="0"/>
    <w:pPr>
      <w:spacing w:before="260" w:after="120" w:line="288" w:lineRule="auto"/>
      <w:ind w:left="0"/>
      <w:jc w:val="left"/>
      <w:outlineLvl w:val="3"/>
    </w:pPr>
    <w:rPr>
      <w:rFonts w:ascii="Arial" w:hAnsi="Arial" w:eastAsia="等线" w:cs="Arial"/>
      <w:b/>
      <w:bCs/>
      <w:sz w:val="28"/>
      <w:szCs w:val="28"/>
    </w:rPr>
  </w:style>
  <w:style w:type="paragraph" w:styleId="6">
    <w:name w:val="heading 5"/>
    <w:next w:val="1"/>
    <w:qFormat/>
    <w:uiPriority w:val="0"/>
    <w:pPr>
      <w:spacing w:before="240" w:after="120" w:line="288" w:lineRule="auto"/>
      <w:ind w:left="0"/>
      <w:jc w:val="left"/>
      <w:outlineLvl w:val="4"/>
    </w:pPr>
    <w:rPr>
      <w:rFonts w:ascii="Arial" w:hAnsi="Arial" w:eastAsia="等线" w:cs="Arial"/>
      <w:b/>
      <w:bCs/>
      <w:sz w:val="24"/>
      <w:szCs w:val="24"/>
    </w:rPr>
  </w:style>
  <w:style w:type="paragraph" w:styleId="7">
    <w:name w:val="heading 6"/>
    <w:next w:val="1"/>
    <w:qFormat/>
    <w:uiPriority w:val="0"/>
    <w:pPr>
      <w:spacing w:before="240" w:after="120" w:line="288" w:lineRule="auto"/>
      <w:ind w:left="0"/>
      <w:jc w:val="left"/>
      <w:outlineLvl w:val="5"/>
    </w:pPr>
    <w:rPr>
      <w:rFonts w:ascii="Arial" w:hAnsi="Arial" w:eastAsia="等线" w:cs="Arial"/>
      <w:b/>
      <w:bCs/>
      <w:sz w:val="24"/>
      <w:szCs w:val="24"/>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8">
    <w:name w:val="toc 3"/>
    <w:basedOn w:val="1"/>
    <w:next w:val="1"/>
    <w:qFormat/>
    <w:uiPriority w:val="0"/>
    <w:pPr>
      <w:ind w:left="840" w:leftChars="400"/>
    </w:p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qFormat/>
    <w:uiPriority w:val="0"/>
  </w:style>
  <w:style w:type="paragraph" w:styleId="12">
    <w:name w:val="footnote text"/>
    <w:link w:val="20"/>
    <w:semiHidden/>
    <w:unhideWhenUsed/>
    <w:qFormat/>
    <w:uiPriority w:val="99"/>
    <w:pPr>
      <w:spacing w:after="0" w:line="240" w:lineRule="auto"/>
    </w:pPr>
    <w:rPr>
      <w:rFonts w:asciiTheme="minorHAnsi" w:hAnsiTheme="minorHAnsi" w:eastAsiaTheme="minorEastAsia" w:cstheme="minorBidi"/>
      <w:sz w:val="20"/>
      <w:szCs w:val="20"/>
    </w:rPr>
  </w:style>
  <w:style w:type="paragraph" w:styleId="13">
    <w:name w:val="toc 2"/>
    <w:basedOn w:val="1"/>
    <w:next w:val="1"/>
    <w:qFormat/>
    <w:uiPriority w:val="0"/>
    <w:pPr>
      <w:ind w:left="420" w:leftChars="200"/>
    </w:pPr>
  </w:style>
  <w:style w:type="paragraph" w:styleId="14">
    <w:name w:val="Title"/>
    <w:qFormat/>
    <w:uiPriority w:val="0"/>
    <w:pPr>
      <w:spacing w:before="480" w:after="480" w:line="288" w:lineRule="auto"/>
      <w:ind w:left="0"/>
    </w:pPr>
    <w:rPr>
      <w:rFonts w:ascii="Arial" w:hAnsi="Arial" w:eastAsia="等线" w:cs="Arial"/>
      <w:b/>
      <w:bCs/>
      <w:sz w:val="52"/>
      <w:szCs w:val="52"/>
    </w:rPr>
  </w:style>
  <w:style w:type="character" w:styleId="17">
    <w:name w:val="Hyperlink"/>
    <w:unhideWhenUsed/>
    <w:qFormat/>
    <w:uiPriority w:val="99"/>
    <w:rPr>
      <w:color w:val="0563C1"/>
      <w:u w:val="single"/>
    </w:rPr>
  </w:style>
  <w:style w:type="character" w:styleId="18">
    <w:name w:val="footnote reference"/>
    <w:semiHidden/>
    <w:unhideWhenUsed/>
    <w:qFormat/>
    <w:uiPriority w:val="99"/>
    <w:rPr>
      <w:vertAlign w:val="superscript"/>
    </w:rPr>
  </w:style>
  <w:style w:type="paragraph" w:styleId="19">
    <w:name w:val="List Paragraph"/>
    <w:qFormat/>
    <w:uiPriority w:val="0"/>
    <w:rPr>
      <w:rFonts w:asciiTheme="minorHAnsi" w:hAnsiTheme="minorHAnsi" w:eastAsiaTheme="minorEastAsia" w:cstheme="minorBidi"/>
      <w:sz w:val="21"/>
      <w:szCs w:val="22"/>
    </w:rPr>
  </w:style>
  <w:style w:type="character" w:customStyle="1" w:styleId="20">
    <w:name w:val="Footnote Text Char"/>
    <w:link w:val="12"/>
    <w:semiHidden/>
    <w:unhideWhenUsed/>
    <w:qFormat/>
    <w:uiPriority w:val="99"/>
    <w:rPr>
      <w:sz w:val="20"/>
      <w:szCs w:val="20"/>
    </w:rPr>
  </w:style>
  <w:style w:type="paragraph" w:customStyle="1" w:styleId="21">
    <w:name w:val="_Style 13"/>
    <w:qFormat/>
    <w:uiPriority w:val="0"/>
    <w:pPr>
      <w:spacing w:before="120" w:after="120" w:line="288" w:lineRule="auto"/>
      <w:ind w:left="0"/>
      <w:jc w:val="left"/>
    </w:pPr>
    <w:rPr>
      <w:rFonts w:ascii="Arial" w:hAnsi="Arial" w:eastAsia="等线" w:cs="Arial"/>
      <w:sz w:val="22"/>
      <w:szCs w:val="22"/>
    </w:rPr>
  </w:style>
  <w:style w:type="paragraph" w:customStyle="1" w:styleId="22">
    <w:name w:val="_Style 14"/>
    <w:qFormat/>
    <w:uiPriority w:val="0"/>
    <w:pPr>
      <w:spacing w:before="120" w:after="120" w:line="288" w:lineRule="auto"/>
      <w:ind w:left="0"/>
      <w:jc w:val="left"/>
    </w:pPr>
    <w:rPr>
      <w:rFonts w:ascii="Arial" w:hAnsi="Arial" w:eastAsia="等线" w:cs="Arial"/>
      <w:color w:val="8F959E"/>
      <w:sz w:val="22"/>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41</Pages>
  <Words>19779</Words>
  <Characters>20928</Characters>
  <TotalTime>33</TotalTime>
  <ScaleCrop>false</ScaleCrop>
  <LinksUpToDate>false</LinksUpToDate>
  <CharactersWithSpaces>21860</CharactersWithSpaces>
  <Application>WPS Office_12.1.0.20784_F1E327BC-269C-435d-A152-05C5408002CA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2025-08-29T06:08:00Z</dcterms:created>
  <dc:creator>Un-named</dc:creator>
  <cp:lastModifiedBy>李文星13963563444</cp:lastModifiedBy>
  <dcterms:modified xsi:type="dcterms:W3CDTF">2025-09-17T02:57:47Z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eyJoZGlkIjoiNzM1NmYyMzg2MTk4OTQxNjYxNTg1NWEyMzFkMzYzNzIiLCJ1c2VySWQiOiIzNjU2Nzg0NTgifQ==</vt:lpwstr>
  </property>
  <property fmtid="{D5CDD505-2E9C-101B-9397-08002B2CF9AE}" pid="3" name="KSOProductBuildVer">
    <vt:lpwstr>2052-12.1.0.20784</vt:lpwstr>
  </property>
  <property fmtid="{D5CDD505-2E9C-101B-9397-08002B2CF9AE}" pid="4" name="ICV">
    <vt:lpwstr>60E9F2BD8108452C9DD8315BF904041B_13</vt:lpwstr>
  </property>
</Properties>
</file>